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99D" w:rsidRPr="0030599D" w:rsidRDefault="0030599D" w:rsidP="0030599D">
      <w:pPr>
        <w:keepNext/>
        <w:keepLines/>
        <w:spacing w:before="160" w:after="80"/>
        <w:jc w:val="both"/>
        <w:outlineLvl w:val="1"/>
        <w:rPr>
          <w:rFonts w:ascii="Times New Roman" w:eastAsiaTheme="majorEastAsia" w:hAnsi="Times New Roman" w:cs="Times New Roman"/>
          <w:b/>
          <w:color w:val="0F4761" w:themeColor="accent1" w:themeShade="BF"/>
          <w:sz w:val="28"/>
          <w:szCs w:val="28"/>
        </w:rPr>
      </w:pPr>
      <w:r w:rsidRPr="0030599D">
        <w:rPr>
          <w:rFonts w:ascii="Times New Roman" w:eastAsiaTheme="majorEastAsia" w:hAnsi="Times New Roman" w:cs="Times New Roman"/>
          <w:b/>
          <w:color w:val="0F4761" w:themeColor="accent1" w:themeShade="BF"/>
          <w:sz w:val="28"/>
          <w:szCs w:val="28"/>
        </w:rPr>
        <w:t>Lisavajaduse põhjendus kokkuvõtvalt:</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PPA veepatrull ja vaatlustegevus Euroopa Liidu välispiiri valvamisel, meresõiduohutuse tagamise kontroll ja heidutustegevus, ning otsingu- ja päästetööd Eesti päästepiirkonnas (edaspidi „PPA veeline tegevus“ ja mille mahtu arvestab PPA tingühikuga „patrulltund“)</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Viimastel aastatel on hüppeliselt kasvanud PPA veesõidukite kasutusmäär ja kütuse tarbimine.</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PPA kasutuses olevate veesõidukite kasutust iseloomustab järgmine tabel:</w:t>
      </w:r>
    </w:p>
    <w:tbl>
      <w:tblPr>
        <w:tblStyle w:val="Kontuurtabel"/>
        <w:tblW w:w="0" w:type="auto"/>
        <w:tblLook w:val="04A0" w:firstRow="1" w:lastRow="0" w:firstColumn="1" w:lastColumn="0" w:noHBand="0" w:noVBand="1"/>
      </w:tblPr>
      <w:tblGrid>
        <w:gridCol w:w="3397"/>
        <w:gridCol w:w="2356"/>
        <w:gridCol w:w="2877"/>
      </w:tblGrid>
      <w:tr w:rsidR="0030599D" w:rsidRPr="0030599D" w:rsidTr="00F64B10">
        <w:tc>
          <w:tcPr>
            <w:tcW w:w="3397" w:type="dxa"/>
          </w:tcPr>
          <w:p w:rsidR="0030599D" w:rsidRPr="0030599D" w:rsidRDefault="0030599D" w:rsidP="0030599D">
            <w:r w:rsidRPr="0030599D">
              <w:t>Aasta</w:t>
            </w:r>
          </w:p>
        </w:tc>
        <w:tc>
          <w:tcPr>
            <w:tcW w:w="2356" w:type="dxa"/>
          </w:tcPr>
          <w:p w:rsidR="0030599D" w:rsidRPr="0030599D" w:rsidRDefault="0030599D" w:rsidP="0030599D">
            <w:proofErr w:type="spellStart"/>
            <w:r w:rsidRPr="0030599D">
              <w:t>Patrulltundi</w:t>
            </w:r>
            <w:proofErr w:type="spellEnd"/>
          </w:p>
        </w:tc>
        <w:tc>
          <w:tcPr>
            <w:tcW w:w="2877" w:type="dxa"/>
          </w:tcPr>
          <w:p w:rsidR="0030599D" w:rsidRPr="0030599D" w:rsidRDefault="0030599D" w:rsidP="0030599D">
            <w:proofErr w:type="spellStart"/>
            <w:r w:rsidRPr="0030599D">
              <w:t>Kasv</w:t>
            </w:r>
            <w:proofErr w:type="spellEnd"/>
            <w:r w:rsidRPr="0030599D">
              <w:t xml:space="preserve"> </w:t>
            </w:r>
            <w:proofErr w:type="spellStart"/>
            <w:r w:rsidRPr="0030599D">
              <w:t>võrreldes</w:t>
            </w:r>
            <w:proofErr w:type="spellEnd"/>
            <w:r w:rsidRPr="0030599D">
              <w:t xml:space="preserve"> 2023. </w:t>
            </w:r>
            <w:proofErr w:type="spellStart"/>
            <w:r w:rsidRPr="0030599D">
              <w:t>aasta</w:t>
            </w:r>
            <w:proofErr w:type="spellEnd"/>
            <w:r w:rsidRPr="0030599D">
              <w:t xml:space="preserve"> </w:t>
            </w:r>
            <w:proofErr w:type="spellStart"/>
            <w:r w:rsidRPr="0030599D">
              <w:t>tasemega</w:t>
            </w:r>
            <w:proofErr w:type="spellEnd"/>
          </w:p>
        </w:tc>
      </w:tr>
      <w:tr w:rsidR="0030599D" w:rsidRPr="0030599D" w:rsidTr="00F64B10">
        <w:tc>
          <w:tcPr>
            <w:tcW w:w="3397" w:type="dxa"/>
          </w:tcPr>
          <w:p w:rsidR="0030599D" w:rsidRPr="0030599D" w:rsidRDefault="0030599D" w:rsidP="0030599D">
            <w:r w:rsidRPr="0030599D">
              <w:t>2023</w:t>
            </w:r>
          </w:p>
        </w:tc>
        <w:tc>
          <w:tcPr>
            <w:tcW w:w="2356" w:type="dxa"/>
          </w:tcPr>
          <w:p w:rsidR="0030599D" w:rsidRPr="0030599D" w:rsidRDefault="0030599D" w:rsidP="0030599D">
            <w:r w:rsidRPr="0030599D">
              <w:t>12 125</w:t>
            </w:r>
          </w:p>
        </w:tc>
        <w:tc>
          <w:tcPr>
            <w:tcW w:w="2877" w:type="dxa"/>
          </w:tcPr>
          <w:p w:rsidR="0030599D" w:rsidRPr="0030599D" w:rsidRDefault="0030599D" w:rsidP="0030599D">
            <w:proofErr w:type="spellStart"/>
            <w:r w:rsidRPr="0030599D">
              <w:t>Baastase</w:t>
            </w:r>
            <w:proofErr w:type="spellEnd"/>
          </w:p>
        </w:tc>
      </w:tr>
      <w:tr w:rsidR="0030599D" w:rsidRPr="0030599D" w:rsidTr="00F64B10">
        <w:tc>
          <w:tcPr>
            <w:tcW w:w="3397" w:type="dxa"/>
          </w:tcPr>
          <w:p w:rsidR="0030599D" w:rsidRPr="0030599D" w:rsidRDefault="0030599D" w:rsidP="0030599D">
            <w:r w:rsidRPr="0030599D">
              <w:t>2024</w:t>
            </w:r>
          </w:p>
        </w:tc>
        <w:tc>
          <w:tcPr>
            <w:tcW w:w="2356" w:type="dxa"/>
          </w:tcPr>
          <w:p w:rsidR="0030599D" w:rsidRPr="0030599D" w:rsidRDefault="0030599D" w:rsidP="0030599D">
            <w:r w:rsidRPr="0030599D">
              <w:t>17 974</w:t>
            </w:r>
          </w:p>
        </w:tc>
        <w:tc>
          <w:tcPr>
            <w:tcW w:w="2877" w:type="dxa"/>
          </w:tcPr>
          <w:p w:rsidR="0030599D" w:rsidRPr="0030599D" w:rsidRDefault="0030599D" w:rsidP="0030599D">
            <w:r w:rsidRPr="0030599D">
              <w:t>+48,2 %</w:t>
            </w:r>
          </w:p>
        </w:tc>
      </w:tr>
      <w:tr w:rsidR="0030599D" w:rsidRPr="0030599D" w:rsidTr="00F64B10">
        <w:tc>
          <w:tcPr>
            <w:tcW w:w="3397" w:type="dxa"/>
          </w:tcPr>
          <w:p w:rsidR="0030599D" w:rsidRPr="0030599D" w:rsidRDefault="0030599D" w:rsidP="0030599D">
            <w:r w:rsidRPr="0030599D">
              <w:t>2025 (</w:t>
            </w:r>
            <w:proofErr w:type="spellStart"/>
            <w:r w:rsidRPr="0030599D">
              <w:t>prognoos</w:t>
            </w:r>
            <w:proofErr w:type="spellEnd"/>
            <w:r w:rsidRPr="0030599D">
              <w:t>)</w:t>
            </w:r>
          </w:p>
        </w:tc>
        <w:tc>
          <w:tcPr>
            <w:tcW w:w="2356" w:type="dxa"/>
          </w:tcPr>
          <w:p w:rsidR="0030599D" w:rsidRPr="0030599D" w:rsidRDefault="0030599D" w:rsidP="0030599D">
            <w:r w:rsidRPr="0030599D">
              <w:t>19 330</w:t>
            </w:r>
          </w:p>
        </w:tc>
        <w:tc>
          <w:tcPr>
            <w:tcW w:w="2877" w:type="dxa"/>
          </w:tcPr>
          <w:p w:rsidR="0030599D" w:rsidRPr="0030599D" w:rsidRDefault="0030599D" w:rsidP="0030599D">
            <w:r w:rsidRPr="0030599D">
              <w:t>+62,7 %</w:t>
            </w:r>
          </w:p>
        </w:tc>
      </w:tr>
    </w:tbl>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2024. ja 2025. eelarveaasta jooksul on PPA kasutuses olevate Riigilaevastiku veesõidukite tegelik ekspluatatsioonikoormus ületanud Riigilaevastikule PPA poolt üle antud eelarve mahtu ja varasematel eelarveplaneerimistel arvestatud mahte rohkem kui 85 %.</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Riigilaevastiku hallatavate PPA kasutuses olevate veesõidukite majandamise kulude* tegeliku määra ja kasvu iseloomustab järgmine tabel:</w:t>
      </w:r>
    </w:p>
    <w:tbl>
      <w:tblPr>
        <w:tblStyle w:val="Kontuurtabel"/>
        <w:tblW w:w="8784" w:type="dxa"/>
        <w:tblLook w:val="04A0" w:firstRow="1" w:lastRow="0" w:firstColumn="1" w:lastColumn="0" w:noHBand="0" w:noVBand="1"/>
      </w:tblPr>
      <w:tblGrid>
        <w:gridCol w:w="1643"/>
        <w:gridCol w:w="1775"/>
        <w:gridCol w:w="1853"/>
        <w:gridCol w:w="1501"/>
        <w:gridCol w:w="2012"/>
      </w:tblGrid>
      <w:tr w:rsidR="0030599D" w:rsidRPr="0030599D" w:rsidTr="00F64B10">
        <w:trPr>
          <w:trHeight w:val="300"/>
        </w:trPr>
        <w:tc>
          <w:tcPr>
            <w:tcW w:w="1670" w:type="dxa"/>
          </w:tcPr>
          <w:p w:rsidR="0030599D" w:rsidRPr="0030599D" w:rsidRDefault="0030599D" w:rsidP="0030599D">
            <w:r w:rsidRPr="0030599D">
              <w:t>Aasta</w:t>
            </w:r>
          </w:p>
        </w:tc>
        <w:tc>
          <w:tcPr>
            <w:tcW w:w="1727" w:type="dxa"/>
          </w:tcPr>
          <w:p w:rsidR="0030599D" w:rsidRPr="0030599D" w:rsidRDefault="0030599D" w:rsidP="0030599D">
            <w:proofErr w:type="spellStart"/>
            <w:r w:rsidRPr="0030599D">
              <w:t>Majanduskuluks</w:t>
            </w:r>
            <w:proofErr w:type="spellEnd"/>
            <w:r w:rsidRPr="0030599D">
              <w:t xml:space="preserve"> </w:t>
            </w:r>
            <w:proofErr w:type="spellStart"/>
            <w:r w:rsidRPr="0030599D">
              <w:t>kuluvad</w:t>
            </w:r>
            <w:proofErr w:type="spellEnd"/>
            <w:r w:rsidRPr="0030599D">
              <w:t xml:space="preserve"> </w:t>
            </w:r>
            <w:proofErr w:type="spellStart"/>
            <w:r w:rsidRPr="0030599D">
              <w:t>vahendid</w:t>
            </w:r>
            <w:proofErr w:type="spellEnd"/>
            <w:r w:rsidRPr="0030599D">
              <w:t xml:space="preserve"> [€]</w:t>
            </w:r>
          </w:p>
        </w:tc>
        <w:tc>
          <w:tcPr>
            <w:tcW w:w="1852" w:type="dxa"/>
          </w:tcPr>
          <w:p w:rsidR="0030599D" w:rsidRPr="0030599D" w:rsidRDefault="0030599D" w:rsidP="0030599D">
            <w:proofErr w:type="spellStart"/>
            <w:r w:rsidRPr="0030599D">
              <w:t>Hooldus</w:t>
            </w:r>
            <w:proofErr w:type="spellEnd"/>
            <w:r w:rsidRPr="0030599D">
              <w:t>/</w:t>
            </w:r>
            <w:proofErr w:type="spellStart"/>
            <w:r w:rsidRPr="0030599D">
              <w:t>remont</w:t>
            </w:r>
            <w:proofErr w:type="spellEnd"/>
            <w:r w:rsidRPr="0030599D">
              <w:t xml:space="preserve"> </w:t>
            </w:r>
            <w:proofErr w:type="spellStart"/>
            <w:r w:rsidRPr="0030599D">
              <w:t>investeeringutele</w:t>
            </w:r>
            <w:proofErr w:type="spellEnd"/>
            <w:r w:rsidRPr="0030599D">
              <w:t xml:space="preserve"> </w:t>
            </w:r>
            <w:proofErr w:type="spellStart"/>
            <w:r w:rsidRPr="0030599D">
              <w:t>kuluvad</w:t>
            </w:r>
            <w:proofErr w:type="spellEnd"/>
            <w:r w:rsidRPr="0030599D">
              <w:t xml:space="preserve"> </w:t>
            </w:r>
            <w:proofErr w:type="spellStart"/>
            <w:r w:rsidRPr="0030599D">
              <w:t>vahendid</w:t>
            </w:r>
            <w:proofErr w:type="spellEnd"/>
            <w:r w:rsidRPr="0030599D">
              <w:t xml:space="preserve"> [€]</w:t>
            </w:r>
          </w:p>
        </w:tc>
        <w:tc>
          <w:tcPr>
            <w:tcW w:w="1465" w:type="dxa"/>
          </w:tcPr>
          <w:p w:rsidR="0030599D" w:rsidRPr="0030599D" w:rsidRDefault="0030599D" w:rsidP="0030599D">
            <w:proofErr w:type="spellStart"/>
            <w:r w:rsidRPr="0030599D">
              <w:t>Majandamise</w:t>
            </w:r>
            <w:proofErr w:type="spellEnd"/>
            <w:r w:rsidRPr="0030599D">
              <w:t xml:space="preserve"> </w:t>
            </w:r>
            <w:proofErr w:type="spellStart"/>
            <w:r w:rsidRPr="0030599D">
              <w:t>kulu</w:t>
            </w:r>
            <w:proofErr w:type="spellEnd"/>
            <w:r w:rsidRPr="0030599D">
              <w:t xml:space="preserve"> </w:t>
            </w:r>
            <w:proofErr w:type="spellStart"/>
            <w:r w:rsidRPr="0030599D">
              <w:t>kokku</w:t>
            </w:r>
            <w:proofErr w:type="spellEnd"/>
            <w:r w:rsidRPr="0030599D">
              <w:t xml:space="preserve"> [€]</w:t>
            </w:r>
          </w:p>
        </w:tc>
        <w:tc>
          <w:tcPr>
            <w:tcW w:w="2070" w:type="dxa"/>
          </w:tcPr>
          <w:p w:rsidR="0030599D" w:rsidRPr="0030599D" w:rsidRDefault="0030599D" w:rsidP="0030599D">
            <w:proofErr w:type="spellStart"/>
            <w:r w:rsidRPr="0030599D">
              <w:t>Kasv</w:t>
            </w:r>
            <w:proofErr w:type="spellEnd"/>
            <w:r w:rsidRPr="0030599D">
              <w:t xml:space="preserve"> </w:t>
            </w:r>
            <w:proofErr w:type="spellStart"/>
            <w:r w:rsidRPr="0030599D">
              <w:t>võrreldes</w:t>
            </w:r>
            <w:proofErr w:type="spellEnd"/>
            <w:r w:rsidRPr="0030599D">
              <w:t xml:space="preserve"> 2023 </w:t>
            </w:r>
            <w:proofErr w:type="spellStart"/>
            <w:r w:rsidRPr="0030599D">
              <w:t>aasta</w:t>
            </w:r>
            <w:proofErr w:type="spellEnd"/>
            <w:r w:rsidRPr="0030599D">
              <w:t xml:space="preserve"> </w:t>
            </w:r>
            <w:proofErr w:type="spellStart"/>
            <w:r w:rsidRPr="0030599D">
              <w:t>tasemega</w:t>
            </w:r>
            <w:proofErr w:type="spellEnd"/>
          </w:p>
        </w:tc>
      </w:tr>
      <w:tr w:rsidR="0030599D" w:rsidRPr="0030599D" w:rsidTr="00F64B10">
        <w:trPr>
          <w:trHeight w:val="300"/>
        </w:trPr>
        <w:tc>
          <w:tcPr>
            <w:tcW w:w="1670" w:type="dxa"/>
          </w:tcPr>
          <w:p w:rsidR="0030599D" w:rsidRPr="0030599D" w:rsidRDefault="0030599D" w:rsidP="0030599D">
            <w:r w:rsidRPr="0030599D">
              <w:t>2023</w:t>
            </w:r>
          </w:p>
        </w:tc>
        <w:tc>
          <w:tcPr>
            <w:tcW w:w="1727" w:type="dxa"/>
          </w:tcPr>
          <w:p w:rsidR="0030599D" w:rsidRPr="0030599D" w:rsidRDefault="0030599D" w:rsidP="0030599D">
            <w:r w:rsidRPr="0030599D">
              <w:t>541 765</w:t>
            </w:r>
          </w:p>
        </w:tc>
        <w:tc>
          <w:tcPr>
            <w:tcW w:w="1852" w:type="dxa"/>
          </w:tcPr>
          <w:p w:rsidR="0030599D" w:rsidRPr="0030599D" w:rsidRDefault="0030599D" w:rsidP="0030599D">
            <w:r w:rsidRPr="0030599D">
              <w:t>0</w:t>
            </w:r>
          </w:p>
        </w:tc>
        <w:tc>
          <w:tcPr>
            <w:tcW w:w="1465" w:type="dxa"/>
          </w:tcPr>
          <w:p w:rsidR="0030599D" w:rsidRPr="0030599D" w:rsidRDefault="0030599D" w:rsidP="0030599D">
            <w:r w:rsidRPr="0030599D">
              <w:t>541 765</w:t>
            </w:r>
          </w:p>
        </w:tc>
        <w:tc>
          <w:tcPr>
            <w:tcW w:w="2070" w:type="dxa"/>
          </w:tcPr>
          <w:p w:rsidR="0030599D" w:rsidRPr="0030599D" w:rsidRDefault="0030599D" w:rsidP="0030599D">
            <w:proofErr w:type="spellStart"/>
            <w:r w:rsidRPr="0030599D">
              <w:t>Baastase</w:t>
            </w:r>
            <w:proofErr w:type="spellEnd"/>
          </w:p>
        </w:tc>
      </w:tr>
      <w:tr w:rsidR="0030599D" w:rsidRPr="0030599D" w:rsidTr="00F64B10">
        <w:trPr>
          <w:trHeight w:val="300"/>
        </w:trPr>
        <w:tc>
          <w:tcPr>
            <w:tcW w:w="1670" w:type="dxa"/>
          </w:tcPr>
          <w:p w:rsidR="0030599D" w:rsidRPr="0030599D" w:rsidRDefault="0030599D" w:rsidP="0030599D">
            <w:r w:rsidRPr="0030599D">
              <w:t xml:space="preserve">2024 </w:t>
            </w:r>
          </w:p>
          <w:p w:rsidR="0030599D" w:rsidRPr="0030599D" w:rsidRDefault="0030599D" w:rsidP="0030599D">
            <w:r w:rsidRPr="0030599D">
              <w:t>(</w:t>
            </w:r>
            <w:proofErr w:type="spellStart"/>
            <w:r w:rsidRPr="0030599D">
              <w:t>tegelik</w:t>
            </w:r>
            <w:proofErr w:type="spellEnd"/>
            <w:r w:rsidRPr="0030599D">
              <w:t xml:space="preserve"> </w:t>
            </w:r>
            <w:proofErr w:type="spellStart"/>
            <w:r w:rsidRPr="0030599D">
              <w:t>kulu</w:t>
            </w:r>
            <w:proofErr w:type="spellEnd"/>
            <w:r w:rsidRPr="0030599D">
              <w:t>)</w:t>
            </w:r>
          </w:p>
        </w:tc>
        <w:tc>
          <w:tcPr>
            <w:tcW w:w="1727" w:type="dxa"/>
          </w:tcPr>
          <w:p w:rsidR="0030599D" w:rsidRPr="0030599D" w:rsidRDefault="0030599D" w:rsidP="0030599D">
            <w:r w:rsidRPr="0030599D">
              <w:t>902 859</w:t>
            </w:r>
          </w:p>
        </w:tc>
        <w:tc>
          <w:tcPr>
            <w:tcW w:w="1852" w:type="dxa"/>
          </w:tcPr>
          <w:p w:rsidR="0030599D" w:rsidRPr="0030599D" w:rsidRDefault="0030599D" w:rsidP="0030599D">
            <w:r w:rsidRPr="0030599D">
              <w:t>98 321</w:t>
            </w:r>
          </w:p>
        </w:tc>
        <w:tc>
          <w:tcPr>
            <w:tcW w:w="1465" w:type="dxa"/>
          </w:tcPr>
          <w:p w:rsidR="0030599D" w:rsidRPr="0030599D" w:rsidRDefault="0030599D" w:rsidP="0030599D">
            <w:r w:rsidRPr="0030599D">
              <w:t>1 001 180</w:t>
            </w:r>
          </w:p>
        </w:tc>
        <w:tc>
          <w:tcPr>
            <w:tcW w:w="2070" w:type="dxa"/>
          </w:tcPr>
          <w:p w:rsidR="0030599D" w:rsidRPr="0030599D" w:rsidRDefault="0030599D" w:rsidP="0030599D">
            <w:r w:rsidRPr="0030599D">
              <w:t>+84,8 %</w:t>
            </w:r>
          </w:p>
        </w:tc>
      </w:tr>
      <w:tr w:rsidR="0030599D" w:rsidRPr="0030599D" w:rsidTr="00F64B10">
        <w:trPr>
          <w:trHeight w:val="300"/>
        </w:trPr>
        <w:tc>
          <w:tcPr>
            <w:tcW w:w="1670" w:type="dxa"/>
          </w:tcPr>
          <w:p w:rsidR="0030599D" w:rsidRPr="0030599D" w:rsidRDefault="0030599D" w:rsidP="0030599D">
            <w:r w:rsidRPr="0030599D">
              <w:t>2025 (</w:t>
            </w:r>
            <w:proofErr w:type="spellStart"/>
            <w:r w:rsidRPr="0030599D">
              <w:t>prognoos</w:t>
            </w:r>
            <w:proofErr w:type="spellEnd"/>
            <w:r w:rsidRPr="0030599D">
              <w:t>)</w:t>
            </w:r>
          </w:p>
        </w:tc>
        <w:tc>
          <w:tcPr>
            <w:tcW w:w="1727" w:type="dxa"/>
          </w:tcPr>
          <w:p w:rsidR="0030599D" w:rsidRPr="0030599D" w:rsidRDefault="0030599D" w:rsidP="0030599D">
            <w:r w:rsidRPr="0030599D">
              <w:t>924 860</w:t>
            </w:r>
          </w:p>
        </w:tc>
        <w:tc>
          <w:tcPr>
            <w:tcW w:w="1852" w:type="dxa"/>
          </w:tcPr>
          <w:p w:rsidR="0030599D" w:rsidRPr="0030599D" w:rsidRDefault="0030599D" w:rsidP="0030599D">
            <w:r w:rsidRPr="0030599D">
              <w:t>235 917</w:t>
            </w:r>
          </w:p>
        </w:tc>
        <w:tc>
          <w:tcPr>
            <w:tcW w:w="1465" w:type="dxa"/>
          </w:tcPr>
          <w:p w:rsidR="0030599D" w:rsidRPr="0030599D" w:rsidRDefault="0030599D" w:rsidP="0030599D">
            <w:r w:rsidRPr="0030599D">
              <w:t>1 160 777</w:t>
            </w:r>
          </w:p>
        </w:tc>
        <w:tc>
          <w:tcPr>
            <w:tcW w:w="2070" w:type="dxa"/>
          </w:tcPr>
          <w:p w:rsidR="0030599D" w:rsidRPr="0030599D" w:rsidRDefault="0030599D" w:rsidP="0030599D">
            <w:r w:rsidRPr="0030599D">
              <w:t xml:space="preserve">+214,3 % </w:t>
            </w:r>
          </w:p>
        </w:tc>
      </w:tr>
    </w:tbl>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*Majandamise kulud ei sisalda: PPA kasutuses olevate Riigilaevastiku veesõidukite meeskondade kulusid, sest PPA mehitab veesõidukid ise oma ametnikega.</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 xml:space="preserve">Olukorras, kus Riigilaevastik peab tagama vahendid veesõidukite kasvanud kulude katteks, peab Riigilaevastik rakendama ka riiklikku kärpekava 2025- 2027 aastal (nn „5-3-2“). Kui üldiselt sisejulgeolekule kärpekava ei rakendata, siis PPA kasutuses olevate veesõidukite majandamise kulude eelarvele erandit ei kohaldata. </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 xml:space="preserve">Lisaks on 2025., 2026., ja 2027. aastaks PPA planeerinud veelise tegevuse võimekuse tõstmiseks veesõidukite koguarvu suurendada, mille tõttu kasvavad majandamise kulud hinnanguliselt 170 000 eurot, kuni veelise võimekuse rahuldava taseme saavutamiseni 2027. aastal. </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PPA veeliste põhiülesannete tagamiseks on PPA planeerinud patrulltundide mahuks 2025. aastal 19 330 tundi.</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Täna on Riigilaevastikule eraldatud eelarvelisi vahendeid, millega PPA veelist tegevust saab teostada ca 12 000 patrulltunni ulatuses, mis vastab 2023. aastal teostatud mahule.</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 xml:space="preserve">Et võimaldada </w:t>
      </w:r>
      <w:proofErr w:type="spellStart"/>
      <w:r w:rsidRPr="0030599D">
        <w:rPr>
          <w:rFonts w:ascii="Times New Roman" w:eastAsiaTheme="minorEastAsia" w:hAnsi="Times New Roman" w:cs="Times New Roman"/>
          <w:kern w:val="0"/>
          <w14:ligatures w14:val="none"/>
        </w:rPr>
        <w:t>PPA-l</w:t>
      </w:r>
      <w:proofErr w:type="spellEnd"/>
      <w:r w:rsidRPr="0030599D">
        <w:rPr>
          <w:rFonts w:ascii="Times New Roman" w:eastAsiaTheme="minorEastAsia" w:hAnsi="Times New Roman" w:cs="Times New Roman"/>
          <w:kern w:val="0"/>
          <w14:ligatures w14:val="none"/>
        </w:rPr>
        <w:t xml:space="preserve"> teostada veelisi tegevusi planeeritud mahus ja hoida avaliku teenuse kvaliteedi taset, on PPA veeliste tegevuste toetuseks ja tagamiseks Riigilaevastikul vaja lisarahastust vähemalt </w:t>
      </w:r>
      <w:r w:rsidRPr="0030599D">
        <w:rPr>
          <w:rFonts w:ascii="Times New Roman" w:eastAsiaTheme="minorEastAsia" w:hAnsi="Times New Roman" w:cs="Times New Roman"/>
          <w:b/>
          <w:bCs/>
          <w:kern w:val="0"/>
          <w14:ligatures w14:val="none"/>
        </w:rPr>
        <w:t>785 000 eurot aastas</w:t>
      </w:r>
      <w:r w:rsidRPr="0030599D">
        <w:rPr>
          <w:rFonts w:ascii="Times New Roman" w:eastAsiaTheme="minorEastAsia" w:hAnsi="Times New Roman" w:cs="Times New Roman"/>
          <w:kern w:val="0"/>
          <w14:ligatures w14:val="none"/>
        </w:rPr>
        <w:t>.</w:t>
      </w:r>
    </w:p>
    <w:p w:rsidR="0030599D" w:rsidRPr="0030599D" w:rsidRDefault="0030599D" w:rsidP="0030599D">
      <w:pPr>
        <w:keepNext/>
        <w:keepLines/>
        <w:spacing w:before="160" w:after="80"/>
        <w:jc w:val="both"/>
        <w:outlineLvl w:val="1"/>
        <w:rPr>
          <w:rFonts w:ascii="Times New Roman" w:eastAsiaTheme="majorEastAsia" w:hAnsi="Times New Roman" w:cs="Times New Roman"/>
          <w:b/>
          <w:color w:val="0F4761" w:themeColor="accent1" w:themeShade="BF"/>
          <w:sz w:val="28"/>
          <w:szCs w:val="28"/>
        </w:rPr>
      </w:pPr>
      <w:r w:rsidRPr="0030599D">
        <w:rPr>
          <w:rFonts w:ascii="Times New Roman" w:eastAsiaTheme="majorEastAsia" w:hAnsi="Times New Roman" w:cs="Times New Roman"/>
          <w:b/>
          <w:color w:val="0F4761" w:themeColor="accent1" w:themeShade="BF"/>
          <w:sz w:val="28"/>
          <w:szCs w:val="28"/>
        </w:rPr>
        <w:t>PPA kasutuses olevate veesõidukite kasutusmäära kasvu ja majanduskulude kasvu põhjused</w:t>
      </w:r>
    </w:p>
    <w:p w:rsidR="0030599D" w:rsidRPr="0030599D" w:rsidRDefault="0030599D" w:rsidP="0030599D">
      <w:pPr>
        <w:keepNext/>
        <w:keepLines/>
        <w:spacing w:before="160" w:after="80"/>
        <w:jc w:val="both"/>
        <w:outlineLvl w:val="2"/>
        <w:rPr>
          <w:rFonts w:ascii="Times New Roman" w:eastAsiaTheme="majorEastAsia" w:hAnsi="Times New Roman" w:cs="Times New Roman"/>
          <w:b/>
          <w:color w:val="0F4761" w:themeColor="accent1" w:themeShade="BF"/>
        </w:rPr>
      </w:pPr>
      <w:r w:rsidRPr="0030599D">
        <w:rPr>
          <w:rFonts w:ascii="Times New Roman" w:eastAsiaTheme="majorEastAsia" w:hAnsi="Times New Roman" w:cs="Times New Roman"/>
          <w:b/>
          <w:color w:val="0F4761" w:themeColor="accent1" w:themeShade="BF"/>
        </w:rPr>
        <w:t>Väikelaevade registreerimine ja väikelaevajuhi tunnistuse omanike kasv:</w:t>
      </w:r>
    </w:p>
    <w:tbl>
      <w:tblPr>
        <w:tblStyle w:val="Kontuurtabel"/>
        <w:tblpPr w:leftFromText="141" w:rightFromText="141" w:vertAnchor="text" w:horzAnchor="margin" w:tblpXSpec="center" w:tblpY="885"/>
        <w:tblW w:w="9209" w:type="dxa"/>
        <w:tblLook w:val="04A0" w:firstRow="1" w:lastRow="0" w:firstColumn="1" w:lastColumn="0" w:noHBand="0" w:noVBand="1"/>
      </w:tblPr>
      <w:tblGrid>
        <w:gridCol w:w="3811"/>
        <w:gridCol w:w="1182"/>
        <w:gridCol w:w="1142"/>
        <w:gridCol w:w="1142"/>
        <w:gridCol w:w="1932"/>
      </w:tblGrid>
      <w:tr w:rsidR="0030599D" w:rsidRPr="0030599D" w:rsidTr="00F64B10">
        <w:trPr>
          <w:trHeight w:val="272"/>
        </w:trPr>
        <w:tc>
          <w:tcPr>
            <w:tcW w:w="3811" w:type="dxa"/>
          </w:tcPr>
          <w:p w:rsidR="0030599D" w:rsidRPr="0030599D" w:rsidRDefault="0030599D" w:rsidP="0030599D">
            <w:pPr>
              <w:rPr>
                <w:shd w:val="clear" w:color="auto" w:fill="FFFFFF"/>
              </w:rPr>
            </w:pPr>
          </w:p>
        </w:tc>
        <w:tc>
          <w:tcPr>
            <w:tcW w:w="1182" w:type="dxa"/>
          </w:tcPr>
          <w:p w:rsidR="0030599D" w:rsidRPr="0030599D" w:rsidRDefault="0030599D" w:rsidP="0030599D">
            <w:pPr>
              <w:rPr>
                <w:shd w:val="clear" w:color="auto" w:fill="FFFFFF"/>
              </w:rPr>
            </w:pPr>
            <w:r w:rsidRPr="0030599D">
              <w:rPr>
                <w:shd w:val="clear" w:color="auto" w:fill="FFFFFF"/>
              </w:rPr>
              <w:t>2022</w:t>
            </w:r>
          </w:p>
        </w:tc>
        <w:tc>
          <w:tcPr>
            <w:tcW w:w="1142" w:type="dxa"/>
          </w:tcPr>
          <w:p w:rsidR="0030599D" w:rsidRPr="0030599D" w:rsidRDefault="0030599D" w:rsidP="0030599D">
            <w:pPr>
              <w:rPr>
                <w:shd w:val="clear" w:color="auto" w:fill="FFFFFF"/>
              </w:rPr>
            </w:pPr>
            <w:r w:rsidRPr="0030599D">
              <w:rPr>
                <w:shd w:val="clear" w:color="auto" w:fill="FFFFFF"/>
              </w:rPr>
              <w:t>2023</w:t>
            </w:r>
          </w:p>
        </w:tc>
        <w:tc>
          <w:tcPr>
            <w:tcW w:w="1142" w:type="dxa"/>
          </w:tcPr>
          <w:p w:rsidR="0030599D" w:rsidRPr="0030599D" w:rsidRDefault="0030599D" w:rsidP="0030599D">
            <w:pPr>
              <w:rPr>
                <w:shd w:val="clear" w:color="auto" w:fill="FFFFFF"/>
              </w:rPr>
            </w:pPr>
            <w:r w:rsidRPr="0030599D">
              <w:rPr>
                <w:shd w:val="clear" w:color="auto" w:fill="FFFFFF"/>
              </w:rPr>
              <w:t>2024</w:t>
            </w:r>
          </w:p>
        </w:tc>
        <w:tc>
          <w:tcPr>
            <w:tcW w:w="1932" w:type="dxa"/>
          </w:tcPr>
          <w:p w:rsidR="0030599D" w:rsidRPr="0030599D" w:rsidRDefault="0030599D" w:rsidP="0030599D">
            <w:pPr>
              <w:rPr>
                <w:shd w:val="clear" w:color="auto" w:fill="FFFFFF"/>
              </w:rPr>
            </w:pPr>
            <w:r w:rsidRPr="0030599D">
              <w:rPr>
                <w:shd w:val="clear" w:color="auto" w:fill="FFFFFF"/>
              </w:rPr>
              <w:t>2022 vs 2024</w:t>
            </w:r>
          </w:p>
        </w:tc>
      </w:tr>
      <w:tr w:rsidR="0030599D" w:rsidRPr="0030599D" w:rsidTr="00F64B10">
        <w:trPr>
          <w:trHeight w:val="272"/>
        </w:trPr>
        <w:tc>
          <w:tcPr>
            <w:tcW w:w="3811" w:type="dxa"/>
          </w:tcPr>
          <w:p w:rsidR="0030599D" w:rsidRPr="0030599D" w:rsidRDefault="0030599D" w:rsidP="0030599D">
            <w:pPr>
              <w:rPr>
                <w:shd w:val="clear" w:color="auto" w:fill="FFFFFF"/>
              </w:rPr>
            </w:pPr>
            <w:proofErr w:type="spellStart"/>
            <w:r w:rsidRPr="0030599D">
              <w:rPr>
                <w:shd w:val="clear" w:color="auto" w:fill="FFFFFF"/>
              </w:rPr>
              <w:t>Väikelaevu</w:t>
            </w:r>
            <w:proofErr w:type="spellEnd"/>
            <w:r w:rsidRPr="0030599D">
              <w:rPr>
                <w:shd w:val="clear" w:color="auto" w:fill="FFFFFF"/>
              </w:rPr>
              <w:t xml:space="preserve"> </w:t>
            </w:r>
            <w:proofErr w:type="spellStart"/>
            <w:r w:rsidRPr="0030599D">
              <w:rPr>
                <w:shd w:val="clear" w:color="auto" w:fill="FFFFFF"/>
              </w:rPr>
              <w:t>liiklusregistris</w:t>
            </w:r>
            <w:proofErr w:type="spellEnd"/>
          </w:p>
        </w:tc>
        <w:tc>
          <w:tcPr>
            <w:tcW w:w="1182" w:type="dxa"/>
          </w:tcPr>
          <w:p w:rsidR="0030599D" w:rsidRPr="0030599D" w:rsidRDefault="0030599D" w:rsidP="0030599D">
            <w:pPr>
              <w:rPr>
                <w:shd w:val="clear" w:color="auto" w:fill="FFFFFF"/>
              </w:rPr>
            </w:pPr>
            <w:r w:rsidRPr="0030599D">
              <w:rPr>
                <w:shd w:val="clear" w:color="auto" w:fill="FFFFFF"/>
              </w:rPr>
              <w:t>33 698</w:t>
            </w:r>
          </w:p>
        </w:tc>
        <w:tc>
          <w:tcPr>
            <w:tcW w:w="1142" w:type="dxa"/>
          </w:tcPr>
          <w:p w:rsidR="0030599D" w:rsidRPr="0030599D" w:rsidRDefault="0030599D" w:rsidP="0030599D">
            <w:pPr>
              <w:rPr>
                <w:shd w:val="clear" w:color="auto" w:fill="FFFFFF"/>
              </w:rPr>
            </w:pPr>
            <w:r w:rsidRPr="0030599D">
              <w:rPr>
                <w:shd w:val="clear" w:color="auto" w:fill="FFFFFF"/>
              </w:rPr>
              <w:t xml:space="preserve">34 810 </w:t>
            </w:r>
          </w:p>
        </w:tc>
        <w:tc>
          <w:tcPr>
            <w:tcW w:w="1142" w:type="dxa"/>
          </w:tcPr>
          <w:p w:rsidR="0030599D" w:rsidRPr="0030599D" w:rsidRDefault="0030599D" w:rsidP="0030599D">
            <w:pPr>
              <w:rPr>
                <w:shd w:val="clear" w:color="auto" w:fill="FFFFFF"/>
              </w:rPr>
            </w:pPr>
            <w:r w:rsidRPr="0030599D">
              <w:rPr>
                <w:shd w:val="clear" w:color="auto" w:fill="FFFFFF"/>
              </w:rPr>
              <w:t>35 609</w:t>
            </w:r>
          </w:p>
        </w:tc>
        <w:tc>
          <w:tcPr>
            <w:tcW w:w="1932" w:type="dxa"/>
          </w:tcPr>
          <w:p w:rsidR="0030599D" w:rsidRPr="0030599D" w:rsidRDefault="0030599D" w:rsidP="0030599D">
            <w:pPr>
              <w:rPr>
                <w:shd w:val="clear" w:color="auto" w:fill="FFFFFF"/>
              </w:rPr>
            </w:pPr>
            <w:r w:rsidRPr="0030599D">
              <w:rPr>
                <w:shd w:val="clear" w:color="auto" w:fill="FFFFFF"/>
              </w:rPr>
              <w:t>+ 5,67 %</w:t>
            </w:r>
          </w:p>
        </w:tc>
      </w:tr>
      <w:tr w:rsidR="0030599D" w:rsidRPr="0030599D" w:rsidTr="00F64B10">
        <w:trPr>
          <w:trHeight w:val="272"/>
        </w:trPr>
        <w:tc>
          <w:tcPr>
            <w:tcW w:w="3811" w:type="dxa"/>
          </w:tcPr>
          <w:p w:rsidR="0030599D" w:rsidRPr="0030599D" w:rsidRDefault="0030599D" w:rsidP="0030599D">
            <w:pPr>
              <w:rPr>
                <w:shd w:val="clear" w:color="auto" w:fill="FFFFFF"/>
              </w:rPr>
            </w:pPr>
            <w:proofErr w:type="spellStart"/>
            <w:r w:rsidRPr="0030599D">
              <w:rPr>
                <w:shd w:val="clear" w:color="auto" w:fill="FFFFFF"/>
              </w:rPr>
              <w:t>Väikelaevajuhi</w:t>
            </w:r>
            <w:proofErr w:type="spellEnd"/>
            <w:r w:rsidRPr="0030599D">
              <w:rPr>
                <w:shd w:val="clear" w:color="auto" w:fill="FFFFFF"/>
              </w:rPr>
              <w:t xml:space="preserve"> </w:t>
            </w:r>
            <w:proofErr w:type="spellStart"/>
            <w:r w:rsidRPr="0030599D">
              <w:rPr>
                <w:shd w:val="clear" w:color="auto" w:fill="FFFFFF"/>
              </w:rPr>
              <w:t>tunnistuse</w:t>
            </w:r>
            <w:proofErr w:type="spellEnd"/>
            <w:r w:rsidRPr="0030599D">
              <w:rPr>
                <w:shd w:val="clear" w:color="auto" w:fill="FFFFFF"/>
              </w:rPr>
              <w:t xml:space="preserve"> </w:t>
            </w:r>
            <w:proofErr w:type="spellStart"/>
            <w:r w:rsidRPr="0030599D">
              <w:rPr>
                <w:shd w:val="clear" w:color="auto" w:fill="FFFFFF"/>
              </w:rPr>
              <w:t>omanikke</w:t>
            </w:r>
            <w:proofErr w:type="spellEnd"/>
          </w:p>
        </w:tc>
        <w:tc>
          <w:tcPr>
            <w:tcW w:w="1182" w:type="dxa"/>
          </w:tcPr>
          <w:p w:rsidR="0030599D" w:rsidRPr="0030599D" w:rsidRDefault="0030599D" w:rsidP="0030599D">
            <w:pPr>
              <w:rPr>
                <w:shd w:val="clear" w:color="auto" w:fill="FFFFFF"/>
              </w:rPr>
            </w:pPr>
            <w:r w:rsidRPr="0030599D">
              <w:rPr>
                <w:shd w:val="clear" w:color="auto" w:fill="FFFFFF"/>
              </w:rPr>
              <w:t>28 050</w:t>
            </w:r>
          </w:p>
        </w:tc>
        <w:tc>
          <w:tcPr>
            <w:tcW w:w="1142" w:type="dxa"/>
          </w:tcPr>
          <w:p w:rsidR="0030599D" w:rsidRPr="0030599D" w:rsidRDefault="0030599D" w:rsidP="0030599D">
            <w:pPr>
              <w:rPr>
                <w:shd w:val="clear" w:color="auto" w:fill="FFFFFF"/>
              </w:rPr>
            </w:pPr>
            <w:r w:rsidRPr="0030599D">
              <w:rPr>
                <w:shd w:val="clear" w:color="auto" w:fill="FFFFFF"/>
              </w:rPr>
              <w:t xml:space="preserve">31 694 </w:t>
            </w:r>
          </w:p>
        </w:tc>
        <w:tc>
          <w:tcPr>
            <w:tcW w:w="1142" w:type="dxa"/>
          </w:tcPr>
          <w:p w:rsidR="0030599D" w:rsidRPr="0030599D" w:rsidRDefault="0030599D" w:rsidP="0030599D">
            <w:pPr>
              <w:rPr>
                <w:shd w:val="clear" w:color="auto" w:fill="FFFFFF"/>
              </w:rPr>
            </w:pPr>
            <w:r w:rsidRPr="0030599D">
              <w:rPr>
                <w:shd w:val="clear" w:color="auto" w:fill="FFFFFF"/>
              </w:rPr>
              <w:t>33 671</w:t>
            </w:r>
          </w:p>
        </w:tc>
        <w:tc>
          <w:tcPr>
            <w:tcW w:w="1932" w:type="dxa"/>
          </w:tcPr>
          <w:p w:rsidR="0030599D" w:rsidRPr="0030599D" w:rsidRDefault="0030599D" w:rsidP="0030599D">
            <w:pPr>
              <w:rPr>
                <w:shd w:val="clear" w:color="auto" w:fill="FFFFFF"/>
              </w:rPr>
            </w:pPr>
            <w:r w:rsidRPr="0030599D">
              <w:rPr>
                <w:shd w:val="clear" w:color="auto" w:fill="FFFFFF"/>
              </w:rPr>
              <w:t>+ 20,04 %</w:t>
            </w:r>
          </w:p>
        </w:tc>
      </w:tr>
    </w:tbl>
    <w:p w:rsidR="0030599D" w:rsidRPr="0030599D" w:rsidRDefault="0030599D" w:rsidP="0030599D">
      <w:pPr>
        <w:spacing w:after="200" w:line="276" w:lineRule="auto"/>
        <w:jc w:val="both"/>
        <w:rPr>
          <w:rFonts w:ascii="Times New Roman" w:eastAsiaTheme="minorEastAsia" w:hAnsi="Times New Roman" w:cs="Times New Roman"/>
          <w:color w:val="000000"/>
          <w:kern w:val="0"/>
          <w:shd w:val="clear" w:color="auto" w:fill="FFFFFF"/>
          <w14:ligatures w14:val="none"/>
        </w:rPr>
      </w:pPr>
      <w:r w:rsidRPr="0030599D">
        <w:rPr>
          <w:rFonts w:ascii="Times New Roman" w:eastAsiaTheme="minorEastAsia" w:hAnsi="Times New Roman" w:cs="Times New Roman"/>
          <w:color w:val="000000"/>
          <w:kern w:val="0"/>
          <w:shd w:val="clear" w:color="auto" w:fill="FFFFFF"/>
          <w14:ligatures w14:val="none"/>
        </w:rPr>
        <w:t>Aasta-aastalt on kasvanud liiklusregistris registreeritud väikelaevade ja väikelaevajuhi koolituse läbinute ja väikelaevajuhi tunnistuse saajate arv.</w:t>
      </w:r>
      <w:r w:rsidRPr="0030599D">
        <w:rPr>
          <w:rFonts w:ascii="Times New Roman" w:eastAsiaTheme="minorEastAsia" w:hAnsi="Times New Roman" w:cs="Times New Roman"/>
          <w:color w:val="000000"/>
          <w:kern w:val="0"/>
          <w14:ligatures w14:val="none"/>
        </w:rPr>
        <w:br/>
      </w:r>
      <w:r w:rsidRPr="0030599D">
        <w:rPr>
          <w:rFonts w:ascii="Times New Roman" w:eastAsiaTheme="minorEastAsia" w:hAnsi="Times New Roman" w:cs="Times New Roman"/>
          <w:color w:val="000000"/>
          <w:kern w:val="0"/>
          <w:shd w:val="clear" w:color="auto" w:fill="FFFFFF"/>
          <w14:ligatures w14:val="none"/>
        </w:rPr>
        <w:t>See näitab, et üha rohkem inimesi leiab vaba aja veetmiseks tee merele ja sisevetele. </w:t>
      </w:r>
    </w:p>
    <w:p w:rsidR="0030599D" w:rsidRPr="0030599D" w:rsidRDefault="0030599D" w:rsidP="0030599D">
      <w:pPr>
        <w:spacing w:after="200" w:line="276" w:lineRule="auto"/>
        <w:jc w:val="both"/>
        <w:rPr>
          <w:rFonts w:ascii="Times New Roman" w:eastAsiaTheme="minorEastAsia" w:hAnsi="Times New Roman" w:cs="Times New Roman"/>
          <w:color w:val="000000"/>
          <w:kern w:val="0"/>
          <w:shd w:val="clear" w:color="auto" w:fill="FFFFFF"/>
          <w14:ligatures w14:val="none"/>
        </w:rPr>
      </w:pPr>
      <w:r w:rsidRPr="0030599D">
        <w:rPr>
          <w:rFonts w:ascii="Times New Roman" w:eastAsiaTheme="minorEastAsia" w:hAnsi="Times New Roman" w:cs="Times New Roman"/>
          <w:b/>
          <w:bCs/>
          <w:color w:val="000000"/>
          <w:kern w:val="0"/>
          <w:shd w:val="clear" w:color="auto" w:fill="FFFFFF"/>
          <w14:ligatures w14:val="none"/>
        </w:rPr>
        <w:t xml:space="preserve">2024. aasta lõpu seisuga on liiklusregistris 35 609 väikelaeva ja väikelaevajuhi tunnistus on 33 671 inimesel. </w:t>
      </w:r>
      <w:hyperlink r:id="rId7" w:history="1">
        <w:r w:rsidRPr="0030599D">
          <w:rPr>
            <w:rFonts w:ascii="Times New Roman" w:eastAsiaTheme="minorEastAsia" w:hAnsi="Times New Roman" w:cs="Times New Roman"/>
            <w:color w:val="467886" w:themeColor="hyperlink"/>
            <w:kern w:val="0"/>
            <w:u w:val="single"/>
            <w:shd w:val="clear" w:color="auto" w:fill="FFFFFF"/>
            <w14:ligatures w14:val="none"/>
          </w:rPr>
          <w:t>https://www.transpordiamet.ee/liiklusaasta-ulevaade-2024</w:t>
        </w:r>
      </w:hyperlink>
      <w:r w:rsidRPr="0030599D">
        <w:rPr>
          <w:rFonts w:ascii="Times New Roman" w:eastAsiaTheme="minorEastAsia" w:hAnsi="Times New Roman" w:cs="Times New Roman"/>
          <w:b/>
          <w:bCs/>
          <w:color w:val="000000"/>
          <w:kern w:val="0"/>
          <w:shd w:val="clear" w:color="auto" w:fill="FFFFFF"/>
          <w14:ligatures w14:val="none"/>
        </w:rPr>
        <w:t xml:space="preserve"> </w:t>
      </w:r>
    </w:p>
    <w:p w:rsidR="0030599D" w:rsidRPr="0030599D" w:rsidRDefault="0030599D" w:rsidP="0030599D">
      <w:pPr>
        <w:spacing w:after="200" w:line="276" w:lineRule="auto"/>
        <w:jc w:val="both"/>
        <w:rPr>
          <w:rFonts w:ascii="Times New Roman" w:eastAsiaTheme="minorEastAsia" w:hAnsi="Times New Roman" w:cs="Times New Roman"/>
          <w:color w:val="000000"/>
          <w:kern w:val="0"/>
          <w:shd w:val="clear" w:color="auto" w:fill="FFFFFF"/>
          <w14:ligatures w14:val="none"/>
        </w:rPr>
      </w:pPr>
      <w:r w:rsidRPr="0030599D">
        <w:rPr>
          <w:rFonts w:ascii="Times New Roman" w:eastAsiaTheme="minorEastAsia" w:hAnsi="Times New Roman" w:cs="Times New Roman"/>
          <w:b/>
          <w:bCs/>
          <w:color w:val="000000"/>
          <w:kern w:val="0"/>
          <w:shd w:val="clear" w:color="auto" w:fill="FFFFFF"/>
          <w14:ligatures w14:val="none"/>
        </w:rPr>
        <w:t>2023. aasta lõpu seisuga on liiklusregistris 34 810 väikelaeva ja väikelaevajuhi tunnistus on 31694 inimesel</w:t>
      </w:r>
      <w:r w:rsidRPr="0030599D">
        <w:rPr>
          <w:rFonts w:ascii="Times New Roman" w:eastAsiaTheme="minorEastAsia" w:hAnsi="Times New Roman" w:cs="Times New Roman"/>
          <w:color w:val="000000"/>
          <w:kern w:val="0"/>
          <w:shd w:val="clear" w:color="auto" w:fill="FFFFFF"/>
          <w14:ligatures w14:val="none"/>
        </w:rPr>
        <w:t>. </w:t>
      </w:r>
      <w:hyperlink r:id="rId8" w:history="1">
        <w:r w:rsidRPr="0030599D">
          <w:rPr>
            <w:rFonts w:ascii="Times New Roman" w:eastAsiaTheme="minorEastAsia" w:hAnsi="Times New Roman" w:cs="Times New Roman"/>
            <w:color w:val="467886" w:themeColor="hyperlink"/>
            <w:kern w:val="0"/>
            <w:u w:val="single"/>
            <w:shd w:val="clear" w:color="auto" w:fill="FFFFFF"/>
            <w14:ligatures w14:val="none"/>
          </w:rPr>
          <w:t>https://www.transpordiamet.ee/liiklusaasta-ulevaade-2023</w:t>
        </w:r>
      </w:hyperlink>
      <w:r w:rsidRPr="0030599D">
        <w:rPr>
          <w:rFonts w:ascii="Times New Roman" w:eastAsiaTheme="minorEastAsia" w:hAnsi="Times New Roman" w:cs="Times New Roman"/>
          <w:color w:val="000000"/>
          <w:kern w:val="0"/>
          <w:shd w:val="clear" w:color="auto" w:fill="FFFFFF"/>
          <w14:ligatures w14:val="none"/>
        </w:rPr>
        <w:t xml:space="preserve"> </w:t>
      </w:r>
    </w:p>
    <w:p w:rsidR="0030599D" w:rsidRPr="0030599D" w:rsidRDefault="0030599D" w:rsidP="0030599D">
      <w:pPr>
        <w:shd w:val="clear" w:color="auto" w:fill="FFFFFF"/>
        <w:spacing w:after="100" w:afterAutospacing="1" w:line="276" w:lineRule="auto"/>
        <w:jc w:val="both"/>
        <w:rPr>
          <w:rFonts w:ascii="Times New Roman" w:eastAsiaTheme="minorEastAsia" w:hAnsi="Times New Roman" w:cs="Times New Roman"/>
          <w:kern w:val="0"/>
          <w14:ligatures w14:val="none"/>
        </w:rPr>
      </w:pPr>
      <w:r w:rsidRPr="0030599D">
        <w:rPr>
          <w:rFonts w:ascii="Times New Roman" w:eastAsia="Times New Roman" w:hAnsi="Times New Roman" w:cs="Times New Roman"/>
          <w:color w:val="000000"/>
          <w:kern w:val="0"/>
          <w:lang w:eastAsia="et-EE"/>
          <w14:ligatures w14:val="none"/>
        </w:rPr>
        <w:t xml:space="preserve"> 2022. aasta lõpu seisuga oli liiklusregistris 33 698 väikelaeva ja väikelaevajuhi tunnistus 28 050 inimesel. </w:t>
      </w:r>
      <w:hyperlink r:id="rId9" w:anchor="vaikelaevandus" w:history="1">
        <w:r w:rsidRPr="0030599D">
          <w:rPr>
            <w:rFonts w:ascii="Times New Roman" w:eastAsiaTheme="minorEastAsia" w:hAnsi="Times New Roman" w:cs="Times New Roman"/>
            <w:color w:val="467886" w:themeColor="hyperlink"/>
            <w:kern w:val="0"/>
            <w:u w:val="single"/>
            <w14:ligatures w14:val="none"/>
          </w:rPr>
          <w:t>https://www.transpordiamet.ee/meresoiduohutus-2022#vaikelaevandus</w:t>
        </w:r>
      </w:hyperlink>
      <w:r w:rsidRPr="0030599D">
        <w:rPr>
          <w:rFonts w:ascii="Times New Roman" w:eastAsiaTheme="minorEastAsia" w:hAnsi="Times New Roman" w:cs="Times New Roman"/>
          <w:kern w:val="0"/>
          <w14:ligatures w14:val="none"/>
        </w:rPr>
        <w:t xml:space="preserve"> </w:t>
      </w:r>
    </w:p>
    <w:p w:rsidR="0030599D" w:rsidRPr="0030599D" w:rsidRDefault="0030599D" w:rsidP="0030599D">
      <w:pPr>
        <w:keepNext/>
        <w:keepLines/>
        <w:spacing w:before="160" w:after="80"/>
        <w:jc w:val="both"/>
        <w:outlineLvl w:val="2"/>
        <w:rPr>
          <w:rFonts w:ascii="Times New Roman" w:eastAsiaTheme="majorEastAsia" w:hAnsi="Times New Roman" w:cs="Times New Roman"/>
          <w:color w:val="0F4761" w:themeColor="accent1" w:themeShade="BF"/>
        </w:rPr>
      </w:pPr>
      <w:r w:rsidRPr="0030599D">
        <w:rPr>
          <w:rFonts w:ascii="Times New Roman" w:eastAsiaTheme="majorEastAsia" w:hAnsi="Times New Roman" w:cs="Times New Roman"/>
          <w:b/>
          <w:color w:val="0F4761" w:themeColor="accent1" w:themeShade="BF"/>
        </w:rPr>
        <w:t>PPA poolt riikliku järelevalve teostamise kasv meresõiduohutuse seaduses alusel</w:t>
      </w:r>
    </w:p>
    <w:p w:rsidR="0030599D" w:rsidRPr="0030599D" w:rsidRDefault="0030599D" w:rsidP="0030599D">
      <w:pPr>
        <w:shd w:val="clear" w:color="auto" w:fill="FFFFFF"/>
        <w:spacing w:after="100" w:afterAutospacing="1" w:line="276" w:lineRule="auto"/>
        <w:jc w:val="both"/>
        <w:rPr>
          <w:rFonts w:ascii="Times New Roman" w:eastAsiaTheme="minorEastAsia" w:hAnsi="Times New Roman" w:cs="Times New Roman"/>
          <w:color w:val="000000"/>
          <w:kern w:val="0"/>
          <w:shd w:val="clear" w:color="auto" w:fill="FFFFFF"/>
          <w14:ligatures w14:val="none"/>
        </w:rPr>
      </w:pPr>
      <w:r w:rsidRPr="0030599D">
        <w:rPr>
          <w:rFonts w:ascii="Times New Roman" w:eastAsiaTheme="minorEastAsia" w:hAnsi="Times New Roman" w:cs="Times New Roman"/>
          <w:color w:val="000000"/>
          <w:kern w:val="0"/>
          <w:shd w:val="clear" w:color="auto" w:fill="FFFFFF"/>
          <w14:ligatures w14:val="none"/>
        </w:rPr>
        <w:t xml:space="preserve">Meresõiduohutuse seaduse (MSOS) § 76 sätestab riikliku järelevalve asutused, kes teostavad riiklikku järelevalvet meresõiduohutuse seaduse alusel. Selle paragrahvi lõige 2 sätestab, et  Transpordiameti, politseiasutuse, Kaitseväe ning muu seaduses sätestatud järelevalveasutuse järelevalveametniku pädevuses on riiklik järelevalve väikelaevade, alla 12-meetrise kogupikkusega laevade ja </w:t>
      </w:r>
      <w:proofErr w:type="spellStart"/>
      <w:r w:rsidRPr="0030599D">
        <w:rPr>
          <w:rFonts w:ascii="Times New Roman" w:eastAsiaTheme="minorEastAsia" w:hAnsi="Times New Roman" w:cs="Times New Roman"/>
          <w:color w:val="000000"/>
          <w:kern w:val="0"/>
          <w:shd w:val="clear" w:color="auto" w:fill="FFFFFF"/>
          <w14:ligatures w14:val="none"/>
        </w:rPr>
        <w:t>jettide</w:t>
      </w:r>
      <w:proofErr w:type="spellEnd"/>
      <w:r w:rsidRPr="0030599D">
        <w:rPr>
          <w:rFonts w:ascii="Times New Roman" w:eastAsiaTheme="minorEastAsia" w:hAnsi="Times New Roman" w:cs="Times New Roman"/>
          <w:color w:val="000000"/>
          <w:kern w:val="0"/>
          <w:shd w:val="clear" w:color="auto" w:fill="FFFFFF"/>
          <w14:ligatures w14:val="none"/>
        </w:rPr>
        <w:t xml:space="preserve"> üle.</w:t>
      </w:r>
    </w:p>
    <w:tbl>
      <w:tblPr>
        <w:tblStyle w:val="Kontuurtabel"/>
        <w:tblW w:w="8784" w:type="dxa"/>
        <w:tblLook w:val="04A0" w:firstRow="1" w:lastRow="0" w:firstColumn="1" w:lastColumn="0" w:noHBand="0" w:noVBand="1"/>
      </w:tblPr>
      <w:tblGrid>
        <w:gridCol w:w="1271"/>
        <w:gridCol w:w="3544"/>
        <w:gridCol w:w="3969"/>
      </w:tblGrid>
      <w:tr w:rsidR="0030599D" w:rsidRPr="0030599D" w:rsidTr="00F64B10">
        <w:trPr>
          <w:trHeight w:val="240"/>
        </w:trPr>
        <w:tc>
          <w:tcPr>
            <w:tcW w:w="1271"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p>
        </w:tc>
        <w:tc>
          <w:tcPr>
            <w:tcW w:w="354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proofErr w:type="spellStart"/>
            <w:r w:rsidRPr="0030599D">
              <w:rPr>
                <w:rFonts w:ascii="Times New Roman" w:hAnsi="Times New Roman" w:cs="Times New Roman"/>
              </w:rPr>
              <w:t>Veesõidukijuhtide</w:t>
            </w:r>
            <w:proofErr w:type="spellEnd"/>
            <w:r w:rsidRPr="0030599D">
              <w:rPr>
                <w:rFonts w:ascii="Times New Roman" w:hAnsi="Times New Roman" w:cs="Times New Roman"/>
              </w:rPr>
              <w:t xml:space="preserve"> </w:t>
            </w:r>
            <w:proofErr w:type="spellStart"/>
            <w:r w:rsidRPr="0030599D">
              <w:rPr>
                <w:rFonts w:ascii="Times New Roman" w:hAnsi="Times New Roman" w:cs="Times New Roman"/>
              </w:rPr>
              <w:t>joobekontrollid</w:t>
            </w:r>
            <w:proofErr w:type="spellEnd"/>
          </w:p>
        </w:tc>
        <w:tc>
          <w:tcPr>
            <w:tcW w:w="3969"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proofErr w:type="spellStart"/>
            <w:r w:rsidRPr="0030599D">
              <w:rPr>
                <w:rFonts w:ascii="Times New Roman" w:hAnsi="Times New Roman" w:cs="Times New Roman"/>
              </w:rPr>
              <w:t>Ohutusvarustuse</w:t>
            </w:r>
            <w:proofErr w:type="spellEnd"/>
            <w:r w:rsidRPr="0030599D">
              <w:rPr>
                <w:rFonts w:ascii="Times New Roman" w:hAnsi="Times New Roman" w:cs="Times New Roman"/>
              </w:rPr>
              <w:t xml:space="preserve"> </w:t>
            </w:r>
            <w:proofErr w:type="spellStart"/>
            <w:r w:rsidRPr="0030599D">
              <w:rPr>
                <w:rFonts w:ascii="Times New Roman" w:hAnsi="Times New Roman" w:cs="Times New Roman"/>
              </w:rPr>
              <w:t>kontrollid</w:t>
            </w:r>
            <w:proofErr w:type="spellEnd"/>
          </w:p>
        </w:tc>
      </w:tr>
      <w:tr w:rsidR="0030599D" w:rsidRPr="0030599D" w:rsidTr="00F64B10">
        <w:trPr>
          <w:trHeight w:val="240"/>
        </w:trPr>
        <w:tc>
          <w:tcPr>
            <w:tcW w:w="1271"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2023</w:t>
            </w:r>
          </w:p>
        </w:tc>
        <w:tc>
          <w:tcPr>
            <w:tcW w:w="354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3 019</w:t>
            </w:r>
          </w:p>
        </w:tc>
        <w:tc>
          <w:tcPr>
            <w:tcW w:w="3969"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3 752</w:t>
            </w:r>
          </w:p>
        </w:tc>
      </w:tr>
      <w:tr w:rsidR="0030599D" w:rsidRPr="0030599D" w:rsidTr="00F64B10">
        <w:trPr>
          <w:trHeight w:val="240"/>
        </w:trPr>
        <w:tc>
          <w:tcPr>
            <w:tcW w:w="1271"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2024</w:t>
            </w:r>
          </w:p>
        </w:tc>
        <w:tc>
          <w:tcPr>
            <w:tcW w:w="354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3 343</w:t>
            </w:r>
          </w:p>
        </w:tc>
        <w:tc>
          <w:tcPr>
            <w:tcW w:w="3969"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2 909</w:t>
            </w:r>
          </w:p>
        </w:tc>
      </w:tr>
      <w:tr w:rsidR="0030599D" w:rsidRPr="0030599D" w:rsidTr="00F64B10">
        <w:trPr>
          <w:trHeight w:val="240"/>
        </w:trPr>
        <w:tc>
          <w:tcPr>
            <w:tcW w:w="1271"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2025 (6k)</w:t>
            </w:r>
          </w:p>
        </w:tc>
        <w:tc>
          <w:tcPr>
            <w:tcW w:w="354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 xml:space="preserve">  939</w:t>
            </w:r>
          </w:p>
        </w:tc>
        <w:tc>
          <w:tcPr>
            <w:tcW w:w="3969"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1 033</w:t>
            </w:r>
          </w:p>
        </w:tc>
      </w:tr>
    </w:tbl>
    <w:p w:rsidR="0030599D" w:rsidRPr="0030599D" w:rsidRDefault="0030599D" w:rsidP="0030599D">
      <w:pPr>
        <w:shd w:val="clear" w:color="auto" w:fill="FFFFFF"/>
        <w:spacing w:after="100" w:afterAutospacing="1" w:line="276" w:lineRule="auto"/>
        <w:jc w:val="both"/>
        <w:rPr>
          <w:rFonts w:ascii="Times New Roman" w:eastAsiaTheme="minorEastAsia" w:hAnsi="Times New Roman" w:cs="Times New Roman"/>
          <w:kern w:val="0"/>
          <w14:ligatures w14:val="none"/>
        </w:rPr>
      </w:pPr>
    </w:p>
    <w:tbl>
      <w:tblPr>
        <w:tblStyle w:val="Kontuurtabel"/>
        <w:tblW w:w="0" w:type="auto"/>
        <w:tblLook w:val="04A0" w:firstRow="1" w:lastRow="0" w:firstColumn="1" w:lastColumn="0" w:noHBand="0" w:noVBand="1"/>
      </w:tblPr>
      <w:tblGrid>
        <w:gridCol w:w="5059"/>
        <w:gridCol w:w="1101"/>
        <w:gridCol w:w="1101"/>
        <w:gridCol w:w="1375"/>
      </w:tblGrid>
      <w:tr w:rsidR="0030599D" w:rsidRPr="0030599D" w:rsidTr="00F64B10">
        <w:trPr>
          <w:trHeight w:val="288"/>
        </w:trPr>
        <w:tc>
          <w:tcPr>
            <w:tcW w:w="5240"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b/>
              </w:rPr>
            </w:pPr>
            <w:proofErr w:type="spellStart"/>
            <w:r w:rsidRPr="0030599D">
              <w:rPr>
                <w:rFonts w:ascii="Times New Roman" w:hAnsi="Times New Roman" w:cs="Times New Roman"/>
                <w:b/>
              </w:rPr>
              <w:t>Registreeritud</w:t>
            </w:r>
            <w:proofErr w:type="spellEnd"/>
            <w:r w:rsidRPr="0030599D">
              <w:rPr>
                <w:rFonts w:ascii="Times New Roman" w:hAnsi="Times New Roman" w:cs="Times New Roman"/>
                <w:b/>
              </w:rPr>
              <w:t xml:space="preserve"> </w:t>
            </w:r>
            <w:proofErr w:type="spellStart"/>
            <w:r w:rsidRPr="0030599D">
              <w:rPr>
                <w:rFonts w:ascii="Times New Roman" w:hAnsi="Times New Roman" w:cs="Times New Roman"/>
                <w:b/>
              </w:rPr>
              <w:t>väärteokoosseise</w:t>
            </w:r>
            <w:proofErr w:type="spellEnd"/>
          </w:p>
        </w:tc>
        <w:tc>
          <w:tcPr>
            <w:tcW w:w="113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2023</w:t>
            </w:r>
          </w:p>
        </w:tc>
        <w:tc>
          <w:tcPr>
            <w:tcW w:w="113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2024</w:t>
            </w:r>
          </w:p>
        </w:tc>
        <w:tc>
          <w:tcPr>
            <w:tcW w:w="1418"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2025 (6k)</w:t>
            </w:r>
          </w:p>
        </w:tc>
      </w:tr>
      <w:tr w:rsidR="0030599D" w:rsidRPr="0030599D" w:rsidTr="00F64B10">
        <w:trPr>
          <w:trHeight w:val="288"/>
        </w:trPr>
        <w:tc>
          <w:tcPr>
            <w:tcW w:w="5240" w:type="dxa"/>
            <w:noWrap/>
            <w:hideMark/>
          </w:tcPr>
          <w:p w:rsidR="0030599D" w:rsidRPr="0030599D" w:rsidRDefault="0030599D" w:rsidP="0030599D">
            <w:pPr>
              <w:spacing w:before="100" w:beforeAutospacing="1" w:afterAutospacing="1" w:line="276" w:lineRule="auto"/>
              <w:jc w:val="both"/>
              <w:rPr>
                <w:rFonts w:ascii="Times New Roman" w:eastAsia="Times New Roman" w:hAnsi="Times New Roman" w:cs="Times New Roman"/>
                <w:lang w:eastAsia="et-EE"/>
              </w:rPr>
            </w:pPr>
            <w:r w:rsidRPr="0030599D">
              <w:rPr>
                <w:rFonts w:ascii="Times New Roman" w:hAnsi="Times New Roman" w:cs="Times New Roman"/>
                <w:color w:val="000000" w:themeColor="text1"/>
                <w:kern w:val="24"/>
                <w:lang w:eastAsia="et-EE"/>
              </w:rPr>
              <w:t xml:space="preserve">MSOS § </w:t>
            </w:r>
            <w:proofErr w:type="gramStart"/>
            <w:r w:rsidRPr="0030599D">
              <w:rPr>
                <w:rFonts w:ascii="Times New Roman" w:hAnsi="Times New Roman" w:cs="Times New Roman"/>
                <w:color w:val="000000" w:themeColor="text1"/>
                <w:kern w:val="24"/>
                <w:lang w:eastAsia="et-EE"/>
              </w:rPr>
              <w:t>81  -</w:t>
            </w:r>
            <w:proofErr w:type="gram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Veeteel</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liiklemise</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nõuete</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rikkumine</w:t>
            </w:r>
            <w:proofErr w:type="spellEnd"/>
          </w:p>
        </w:tc>
        <w:tc>
          <w:tcPr>
            <w:tcW w:w="113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0</w:t>
            </w:r>
          </w:p>
        </w:tc>
        <w:tc>
          <w:tcPr>
            <w:tcW w:w="113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1</w:t>
            </w:r>
          </w:p>
        </w:tc>
        <w:tc>
          <w:tcPr>
            <w:tcW w:w="1418"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p>
        </w:tc>
      </w:tr>
      <w:tr w:rsidR="0030599D" w:rsidRPr="0030599D" w:rsidTr="00F64B10">
        <w:trPr>
          <w:trHeight w:val="288"/>
        </w:trPr>
        <w:tc>
          <w:tcPr>
            <w:tcW w:w="5240" w:type="dxa"/>
            <w:noWrap/>
            <w:hideMark/>
          </w:tcPr>
          <w:p w:rsidR="0030599D" w:rsidRPr="0030599D" w:rsidRDefault="0030599D" w:rsidP="0030599D">
            <w:pPr>
              <w:spacing w:before="100" w:beforeAutospacing="1" w:afterAutospacing="1" w:line="276" w:lineRule="auto"/>
              <w:jc w:val="both"/>
              <w:rPr>
                <w:rFonts w:ascii="Times New Roman" w:eastAsia="Times New Roman" w:hAnsi="Times New Roman" w:cs="Times New Roman"/>
                <w:lang w:eastAsia="et-EE"/>
              </w:rPr>
            </w:pPr>
            <w:r w:rsidRPr="0030599D">
              <w:rPr>
                <w:rFonts w:ascii="Times New Roman" w:hAnsi="Times New Roman" w:cs="Times New Roman"/>
                <w:color w:val="000000" w:themeColor="text1"/>
                <w:kern w:val="24"/>
                <w:lang w:eastAsia="et-EE"/>
              </w:rPr>
              <w:t xml:space="preserve">MSOS § 82 – </w:t>
            </w:r>
            <w:proofErr w:type="spellStart"/>
            <w:r w:rsidRPr="0030599D">
              <w:rPr>
                <w:rFonts w:ascii="Times New Roman" w:hAnsi="Times New Roman" w:cs="Times New Roman"/>
                <w:color w:val="000000" w:themeColor="text1"/>
                <w:kern w:val="24"/>
                <w:lang w:eastAsia="et-EE"/>
              </w:rPr>
              <w:t>Reisijateveo</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ohutusnõuete</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rikkumine</w:t>
            </w:r>
            <w:proofErr w:type="spellEnd"/>
            <w:r w:rsidRPr="0030599D">
              <w:rPr>
                <w:rFonts w:ascii="Times New Roman" w:hAnsi="Times New Roman" w:cs="Times New Roman"/>
                <w:color w:val="000000" w:themeColor="text1"/>
                <w:kern w:val="24"/>
                <w:lang w:eastAsia="et-EE"/>
              </w:rPr>
              <w:t xml:space="preserve"> mere- ja </w:t>
            </w:r>
            <w:proofErr w:type="spellStart"/>
            <w:r w:rsidRPr="0030599D">
              <w:rPr>
                <w:rFonts w:ascii="Times New Roman" w:hAnsi="Times New Roman" w:cs="Times New Roman"/>
                <w:color w:val="000000" w:themeColor="text1"/>
                <w:kern w:val="24"/>
                <w:lang w:eastAsia="et-EE"/>
              </w:rPr>
              <w:t>siseveetranspordis</w:t>
            </w:r>
            <w:proofErr w:type="spellEnd"/>
          </w:p>
        </w:tc>
        <w:tc>
          <w:tcPr>
            <w:tcW w:w="113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1</w:t>
            </w:r>
          </w:p>
        </w:tc>
        <w:tc>
          <w:tcPr>
            <w:tcW w:w="113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p>
        </w:tc>
        <w:tc>
          <w:tcPr>
            <w:tcW w:w="1418"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1</w:t>
            </w:r>
          </w:p>
        </w:tc>
      </w:tr>
      <w:tr w:rsidR="0030599D" w:rsidRPr="0030599D" w:rsidTr="00F64B10">
        <w:trPr>
          <w:trHeight w:val="288"/>
        </w:trPr>
        <w:tc>
          <w:tcPr>
            <w:tcW w:w="5240" w:type="dxa"/>
            <w:noWrap/>
            <w:hideMark/>
          </w:tcPr>
          <w:p w:rsidR="0030599D" w:rsidRPr="0030599D" w:rsidRDefault="0030599D" w:rsidP="0030599D">
            <w:pPr>
              <w:spacing w:before="100" w:beforeAutospacing="1" w:afterAutospacing="1" w:line="276" w:lineRule="auto"/>
              <w:jc w:val="both"/>
              <w:rPr>
                <w:rFonts w:ascii="Times New Roman" w:eastAsia="Times New Roman" w:hAnsi="Times New Roman" w:cs="Times New Roman"/>
                <w:lang w:eastAsia="et-EE"/>
              </w:rPr>
            </w:pPr>
            <w:r w:rsidRPr="0030599D">
              <w:rPr>
                <w:rFonts w:ascii="Times New Roman" w:hAnsi="Times New Roman" w:cs="Times New Roman"/>
                <w:color w:val="000000" w:themeColor="text1"/>
                <w:kern w:val="24"/>
                <w:lang w:eastAsia="et-EE"/>
              </w:rPr>
              <w:t xml:space="preserve">MSOS § 88 – </w:t>
            </w:r>
            <w:proofErr w:type="spellStart"/>
            <w:r w:rsidRPr="0030599D">
              <w:rPr>
                <w:rFonts w:ascii="Times New Roman" w:hAnsi="Times New Roman" w:cs="Times New Roman"/>
                <w:color w:val="000000" w:themeColor="text1"/>
                <w:kern w:val="24"/>
                <w:lang w:eastAsia="et-EE"/>
              </w:rPr>
              <w:t>Veesõiduki</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juhtimine</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joobeseisundis</w:t>
            </w:r>
            <w:proofErr w:type="spellEnd"/>
          </w:p>
        </w:tc>
        <w:tc>
          <w:tcPr>
            <w:tcW w:w="113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19</w:t>
            </w:r>
          </w:p>
        </w:tc>
        <w:tc>
          <w:tcPr>
            <w:tcW w:w="113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26</w:t>
            </w:r>
          </w:p>
        </w:tc>
        <w:tc>
          <w:tcPr>
            <w:tcW w:w="1418"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2</w:t>
            </w:r>
          </w:p>
        </w:tc>
      </w:tr>
      <w:tr w:rsidR="0030599D" w:rsidRPr="0030599D" w:rsidTr="00F64B10">
        <w:trPr>
          <w:trHeight w:val="288"/>
        </w:trPr>
        <w:tc>
          <w:tcPr>
            <w:tcW w:w="5240" w:type="dxa"/>
            <w:noWrap/>
            <w:hideMark/>
          </w:tcPr>
          <w:p w:rsidR="0030599D" w:rsidRPr="0030599D" w:rsidRDefault="0030599D" w:rsidP="0030599D">
            <w:pPr>
              <w:spacing w:before="100" w:beforeAutospacing="1" w:afterAutospacing="1" w:line="276" w:lineRule="auto"/>
              <w:jc w:val="both"/>
              <w:rPr>
                <w:rFonts w:ascii="Times New Roman" w:eastAsia="Times New Roman" w:hAnsi="Times New Roman" w:cs="Times New Roman"/>
                <w:lang w:eastAsia="et-EE"/>
              </w:rPr>
            </w:pPr>
            <w:r w:rsidRPr="0030599D">
              <w:rPr>
                <w:rFonts w:ascii="Times New Roman" w:hAnsi="Times New Roman" w:cs="Times New Roman"/>
                <w:color w:val="000000" w:themeColor="text1"/>
                <w:kern w:val="24"/>
                <w:lang w:eastAsia="et-EE"/>
              </w:rPr>
              <w:t xml:space="preserve">MSOS § 93 – </w:t>
            </w:r>
            <w:proofErr w:type="spellStart"/>
            <w:r w:rsidRPr="0030599D">
              <w:rPr>
                <w:rFonts w:ascii="Times New Roman" w:hAnsi="Times New Roman" w:cs="Times New Roman"/>
                <w:color w:val="000000" w:themeColor="text1"/>
                <w:kern w:val="24"/>
                <w:lang w:eastAsia="et-EE"/>
              </w:rPr>
              <w:t>Väikelaevade</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alla</w:t>
            </w:r>
            <w:proofErr w:type="spellEnd"/>
            <w:r w:rsidRPr="0030599D">
              <w:rPr>
                <w:rFonts w:ascii="Times New Roman" w:hAnsi="Times New Roman" w:cs="Times New Roman"/>
                <w:color w:val="000000" w:themeColor="text1"/>
                <w:kern w:val="24"/>
                <w:lang w:eastAsia="et-EE"/>
              </w:rPr>
              <w:t xml:space="preserve"> 12- </w:t>
            </w:r>
            <w:proofErr w:type="spellStart"/>
            <w:r w:rsidRPr="0030599D">
              <w:rPr>
                <w:rFonts w:ascii="Times New Roman" w:hAnsi="Times New Roman" w:cs="Times New Roman"/>
                <w:color w:val="000000" w:themeColor="text1"/>
                <w:kern w:val="24"/>
                <w:lang w:eastAsia="et-EE"/>
              </w:rPr>
              <w:t>meetrise</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kogupikkusega</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laevade</w:t>
            </w:r>
            <w:proofErr w:type="spellEnd"/>
            <w:r w:rsidRPr="0030599D">
              <w:rPr>
                <w:rFonts w:ascii="Times New Roman" w:hAnsi="Times New Roman" w:cs="Times New Roman"/>
                <w:color w:val="000000" w:themeColor="text1"/>
                <w:kern w:val="24"/>
                <w:lang w:eastAsia="et-EE"/>
              </w:rPr>
              <w:t xml:space="preserve"> ja </w:t>
            </w:r>
            <w:proofErr w:type="spellStart"/>
            <w:r w:rsidRPr="0030599D">
              <w:rPr>
                <w:rFonts w:ascii="Times New Roman" w:hAnsi="Times New Roman" w:cs="Times New Roman"/>
                <w:color w:val="000000" w:themeColor="text1"/>
                <w:kern w:val="24"/>
                <w:lang w:eastAsia="et-EE"/>
              </w:rPr>
              <w:t>jettide</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registreerimise</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ning</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kasutamise</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nõuete</w:t>
            </w:r>
            <w:proofErr w:type="spellEnd"/>
            <w:r w:rsidRPr="0030599D">
              <w:rPr>
                <w:rFonts w:ascii="Times New Roman" w:hAnsi="Times New Roman" w:cs="Times New Roman"/>
                <w:color w:val="000000" w:themeColor="text1"/>
                <w:kern w:val="24"/>
                <w:lang w:eastAsia="et-EE"/>
              </w:rPr>
              <w:t xml:space="preserve"> </w:t>
            </w:r>
            <w:proofErr w:type="spellStart"/>
            <w:r w:rsidRPr="0030599D">
              <w:rPr>
                <w:rFonts w:ascii="Times New Roman" w:hAnsi="Times New Roman" w:cs="Times New Roman"/>
                <w:color w:val="000000" w:themeColor="text1"/>
                <w:kern w:val="24"/>
                <w:lang w:eastAsia="et-EE"/>
              </w:rPr>
              <w:t>rikkumine</w:t>
            </w:r>
            <w:proofErr w:type="spellEnd"/>
          </w:p>
        </w:tc>
        <w:tc>
          <w:tcPr>
            <w:tcW w:w="113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14</w:t>
            </w:r>
          </w:p>
        </w:tc>
        <w:tc>
          <w:tcPr>
            <w:tcW w:w="113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28</w:t>
            </w:r>
          </w:p>
        </w:tc>
        <w:tc>
          <w:tcPr>
            <w:tcW w:w="1418"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14</w:t>
            </w:r>
          </w:p>
        </w:tc>
      </w:tr>
      <w:tr w:rsidR="0030599D" w:rsidRPr="0030599D" w:rsidTr="00F64B10">
        <w:trPr>
          <w:trHeight w:val="372"/>
        </w:trPr>
        <w:tc>
          <w:tcPr>
            <w:tcW w:w="5240" w:type="dxa"/>
            <w:noWrap/>
            <w:hideMark/>
          </w:tcPr>
          <w:p w:rsidR="0030599D" w:rsidRPr="0030599D" w:rsidRDefault="0030599D" w:rsidP="0030599D">
            <w:pPr>
              <w:spacing w:before="100" w:beforeAutospacing="1" w:afterAutospacing="1" w:line="276" w:lineRule="auto"/>
              <w:jc w:val="both"/>
              <w:rPr>
                <w:rFonts w:ascii="Times New Roman" w:eastAsia="Times New Roman" w:hAnsi="Times New Roman" w:cs="Times New Roman"/>
                <w:lang w:eastAsia="et-EE"/>
              </w:rPr>
            </w:pPr>
            <w:r w:rsidRPr="0030599D">
              <w:rPr>
                <w:rFonts w:ascii="Times New Roman" w:hAnsi="Times New Roman" w:cs="Times New Roman"/>
                <w:color w:val="0E2841" w:themeColor="text2"/>
                <w:kern w:val="24"/>
                <w:lang w:eastAsia="et-EE"/>
              </w:rPr>
              <w:t>MSOS § 94</w:t>
            </w:r>
            <w:r w:rsidRPr="0030599D">
              <w:rPr>
                <w:rFonts w:ascii="Times New Roman" w:hAnsi="Times New Roman" w:cs="Times New Roman"/>
                <w:color w:val="0E2841" w:themeColor="text2"/>
                <w:kern w:val="24"/>
                <w:position w:val="7"/>
                <w:vertAlign w:val="superscript"/>
                <w:lang w:eastAsia="et-EE"/>
              </w:rPr>
              <w:t xml:space="preserve">24 </w:t>
            </w:r>
            <w:r w:rsidRPr="0030599D">
              <w:rPr>
                <w:rFonts w:ascii="Times New Roman" w:hAnsi="Times New Roman" w:cs="Times New Roman"/>
                <w:color w:val="0E2841" w:themeColor="text2"/>
                <w:kern w:val="24"/>
                <w:lang w:eastAsia="et-EE"/>
              </w:rPr>
              <w:t xml:space="preserve">– </w:t>
            </w:r>
            <w:proofErr w:type="spellStart"/>
            <w:r w:rsidRPr="0030599D">
              <w:rPr>
                <w:rFonts w:ascii="Times New Roman" w:hAnsi="Times New Roman" w:cs="Times New Roman"/>
                <w:color w:val="0E2841" w:themeColor="text2"/>
                <w:kern w:val="24"/>
                <w:lang w:eastAsia="et-EE"/>
              </w:rPr>
              <w:t>Väikelaeva</w:t>
            </w:r>
            <w:proofErr w:type="spellEnd"/>
            <w:r w:rsidRPr="0030599D">
              <w:rPr>
                <w:rFonts w:ascii="Times New Roman" w:hAnsi="Times New Roman" w:cs="Times New Roman"/>
                <w:color w:val="0E2841" w:themeColor="text2"/>
                <w:kern w:val="24"/>
                <w:lang w:eastAsia="et-EE"/>
              </w:rPr>
              <w:t xml:space="preserve"> </w:t>
            </w:r>
            <w:proofErr w:type="spellStart"/>
            <w:r w:rsidRPr="0030599D">
              <w:rPr>
                <w:rFonts w:ascii="Times New Roman" w:hAnsi="Times New Roman" w:cs="Times New Roman"/>
                <w:color w:val="0E2841" w:themeColor="text2"/>
                <w:kern w:val="24"/>
                <w:lang w:eastAsia="et-EE"/>
              </w:rPr>
              <w:t>juhtimine</w:t>
            </w:r>
            <w:proofErr w:type="spellEnd"/>
            <w:r w:rsidRPr="0030599D">
              <w:rPr>
                <w:rFonts w:ascii="Times New Roman" w:hAnsi="Times New Roman" w:cs="Times New Roman"/>
                <w:color w:val="0E2841" w:themeColor="text2"/>
                <w:kern w:val="24"/>
                <w:lang w:eastAsia="et-EE"/>
              </w:rPr>
              <w:t xml:space="preserve"> </w:t>
            </w:r>
            <w:proofErr w:type="spellStart"/>
            <w:r w:rsidRPr="0030599D">
              <w:rPr>
                <w:rFonts w:ascii="Times New Roman" w:hAnsi="Times New Roman" w:cs="Times New Roman"/>
                <w:color w:val="0E2841" w:themeColor="text2"/>
                <w:kern w:val="24"/>
                <w:lang w:eastAsia="et-EE"/>
              </w:rPr>
              <w:t>ilma</w:t>
            </w:r>
            <w:proofErr w:type="spellEnd"/>
            <w:r w:rsidRPr="0030599D">
              <w:rPr>
                <w:rFonts w:ascii="Times New Roman" w:hAnsi="Times New Roman" w:cs="Times New Roman"/>
                <w:color w:val="0E2841" w:themeColor="text2"/>
                <w:kern w:val="24"/>
                <w:lang w:eastAsia="et-EE"/>
              </w:rPr>
              <w:t xml:space="preserve"> </w:t>
            </w:r>
            <w:proofErr w:type="spellStart"/>
            <w:r w:rsidRPr="0030599D">
              <w:rPr>
                <w:rFonts w:ascii="Times New Roman" w:hAnsi="Times New Roman" w:cs="Times New Roman"/>
                <w:color w:val="0E2841" w:themeColor="text2"/>
                <w:kern w:val="24"/>
                <w:lang w:eastAsia="et-EE"/>
              </w:rPr>
              <w:t>juhtimisõiguseta</w:t>
            </w:r>
            <w:proofErr w:type="spellEnd"/>
            <w:r w:rsidRPr="0030599D">
              <w:rPr>
                <w:rFonts w:ascii="Times New Roman" w:hAnsi="Times New Roman" w:cs="Times New Roman"/>
                <w:color w:val="0E2841" w:themeColor="text2"/>
                <w:kern w:val="24"/>
                <w:lang w:eastAsia="et-EE"/>
              </w:rPr>
              <w:t xml:space="preserve"> </w:t>
            </w:r>
          </w:p>
        </w:tc>
        <w:tc>
          <w:tcPr>
            <w:tcW w:w="113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8</w:t>
            </w:r>
          </w:p>
        </w:tc>
        <w:tc>
          <w:tcPr>
            <w:tcW w:w="1134"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r w:rsidRPr="0030599D">
              <w:rPr>
                <w:rFonts w:ascii="Times New Roman" w:hAnsi="Times New Roman" w:cs="Times New Roman"/>
              </w:rPr>
              <w:t>17</w:t>
            </w:r>
          </w:p>
        </w:tc>
        <w:tc>
          <w:tcPr>
            <w:tcW w:w="1418" w:type="dxa"/>
            <w:noWrap/>
            <w:hideMark/>
          </w:tcPr>
          <w:p w:rsidR="0030599D" w:rsidRPr="0030599D" w:rsidRDefault="0030599D" w:rsidP="0030599D">
            <w:pPr>
              <w:shd w:val="clear" w:color="auto" w:fill="FFFFFF"/>
              <w:spacing w:after="100" w:afterAutospacing="1" w:line="276" w:lineRule="auto"/>
              <w:jc w:val="both"/>
              <w:rPr>
                <w:rFonts w:ascii="Times New Roman" w:hAnsi="Times New Roman" w:cs="Times New Roman"/>
              </w:rPr>
            </w:pPr>
          </w:p>
        </w:tc>
      </w:tr>
    </w:tbl>
    <w:p w:rsidR="0030599D" w:rsidRPr="0030599D" w:rsidRDefault="0030599D" w:rsidP="0030599D">
      <w:pPr>
        <w:keepNext/>
        <w:keepLines/>
        <w:spacing w:before="160" w:after="80"/>
        <w:jc w:val="both"/>
        <w:outlineLvl w:val="2"/>
        <w:rPr>
          <w:rFonts w:ascii="Times New Roman" w:eastAsiaTheme="majorEastAsia" w:hAnsi="Times New Roman" w:cs="Times New Roman"/>
          <w:b/>
          <w:color w:val="0F4761" w:themeColor="accent1" w:themeShade="BF"/>
        </w:rPr>
      </w:pPr>
      <w:r w:rsidRPr="0030599D">
        <w:rPr>
          <w:rFonts w:ascii="Times New Roman" w:eastAsiaTheme="majorEastAsia" w:hAnsi="Times New Roman" w:cs="Times New Roman"/>
          <w:b/>
          <w:color w:val="0F4761" w:themeColor="accent1" w:themeShade="BF"/>
        </w:rPr>
        <w:t>PPA kasutuse olevate veesõidukite kütuse tarbimise kasv</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Veesõidukite kasutuse kasvust ja lisandunud veesõidukitest tingituna, on PPA kasutuses olevate veesõidukite kütusekulu 2024. ja 2025. aastal võrreldes 2023. aastaga tõusnud üle 14%.</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Kütuse tarbimist iseloomustav tabel</w:t>
      </w:r>
    </w:p>
    <w:tbl>
      <w:tblPr>
        <w:tblStyle w:val="Kontuurtabel"/>
        <w:tblW w:w="0" w:type="auto"/>
        <w:tblLook w:val="04A0" w:firstRow="1" w:lastRow="0" w:firstColumn="1" w:lastColumn="0" w:noHBand="0" w:noVBand="1"/>
      </w:tblPr>
      <w:tblGrid>
        <w:gridCol w:w="3397"/>
        <w:gridCol w:w="2356"/>
        <w:gridCol w:w="2877"/>
      </w:tblGrid>
      <w:tr w:rsidR="0030599D" w:rsidRPr="0030599D" w:rsidTr="00F64B10">
        <w:tc>
          <w:tcPr>
            <w:tcW w:w="3397" w:type="dxa"/>
          </w:tcPr>
          <w:p w:rsidR="0030599D" w:rsidRPr="0030599D" w:rsidRDefault="0030599D" w:rsidP="0030599D">
            <w:bookmarkStart w:id="0" w:name="_Hlk205323948"/>
            <w:r w:rsidRPr="0030599D">
              <w:t>Aasta</w:t>
            </w:r>
          </w:p>
        </w:tc>
        <w:tc>
          <w:tcPr>
            <w:tcW w:w="2356" w:type="dxa"/>
          </w:tcPr>
          <w:p w:rsidR="0030599D" w:rsidRPr="0030599D" w:rsidRDefault="0030599D" w:rsidP="0030599D">
            <w:proofErr w:type="spellStart"/>
            <w:r w:rsidRPr="0030599D">
              <w:t>Tarbitud</w:t>
            </w:r>
            <w:proofErr w:type="spellEnd"/>
            <w:r w:rsidRPr="0030599D">
              <w:t xml:space="preserve"> </w:t>
            </w:r>
            <w:proofErr w:type="spellStart"/>
            <w:r w:rsidRPr="0030599D">
              <w:t>kütusekogus</w:t>
            </w:r>
            <w:proofErr w:type="spellEnd"/>
            <w:r w:rsidRPr="0030599D">
              <w:t xml:space="preserve"> [</w:t>
            </w:r>
            <w:proofErr w:type="spellStart"/>
            <w:r w:rsidRPr="0030599D">
              <w:t>liiter</w:t>
            </w:r>
            <w:proofErr w:type="spellEnd"/>
            <w:r w:rsidRPr="0030599D">
              <w:t>]</w:t>
            </w:r>
          </w:p>
        </w:tc>
        <w:tc>
          <w:tcPr>
            <w:tcW w:w="2877" w:type="dxa"/>
          </w:tcPr>
          <w:p w:rsidR="0030599D" w:rsidRPr="0030599D" w:rsidRDefault="0030599D" w:rsidP="0030599D">
            <w:proofErr w:type="spellStart"/>
            <w:r w:rsidRPr="0030599D">
              <w:t>Kasv</w:t>
            </w:r>
            <w:proofErr w:type="spellEnd"/>
            <w:r w:rsidRPr="0030599D">
              <w:t xml:space="preserve"> </w:t>
            </w:r>
            <w:proofErr w:type="spellStart"/>
            <w:r w:rsidRPr="0030599D">
              <w:t>võrreldes</w:t>
            </w:r>
            <w:proofErr w:type="spellEnd"/>
            <w:r w:rsidRPr="0030599D">
              <w:t xml:space="preserve"> 2023. </w:t>
            </w:r>
            <w:proofErr w:type="spellStart"/>
            <w:r w:rsidRPr="0030599D">
              <w:t>aasta</w:t>
            </w:r>
            <w:proofErr w:type="spellEnd"/>
            <w:r w:rsidRPr="0030599D">
              <w:t xml:space="preserve"> </w:t>
            </w:r>
            <w:proofErr w:type="spellStart"/>
            <w:r w:rsidRPr="0030599D">
              <w:t>tasemega</w:t>
            </w:r>
            <w:proofErr w:type="spellEnd"/>
          </w:p>
        </w:tc>
      </w:tr>
      <w:tr w:rsidR="0030599D" w:rsidRPr="0030599D" w:rsidTr="00F64B10">
        <w:tc>
          <w:tcPr>
            <w:tcW w:w="3397" w:type="dxa"/>
          </w:tcPr>
          <w:p w:rsidR="0030599D" w:rsidRPr="0030599D" w:rsidRDefault="0030599D" w:rsidP="0030599D">
            <w:r w:rsidRPr="0030599D">
              <w:t>2023</w:t>
            </w:r>
          </w:p>
        </w:tc>
        <w:tc>
          <w:tcPr>
            <w:tcW w:w="2356" w:type="dxa"/>
          </w:tcPr>
          <w:p w:rsidR="0030599D" w:rsidRPr="0030599D" w:rsidRDefault="0030599D" w:rsidP="0030599D">
            <w:r w:rsidRPr="0030599D">
              <w:t>248 454</w:t>
            </w:r>
          </w:p>
        </w:tc>
        <w:tc>
          <w:tcPr>
            <w:tcW w:w="2877" w:type="dxa"/>
          </w:tcPr>
          <w:p w:rsidR="0030599D" w:rsidRPr="0030599D" w:rsidRDefault="0030599D" w:rsidP="0030599D">
            <w:proofErr w:type="spellStart"/>
            <w:r w:rsidRPr="0030599D">
              <w:t>Baastase</w:t>
            </w:r>
            <w:proofErr w:type="spellEnd"/>
          </w:p>
        </w:tc>
      </w:tr>
      <w:tr w:rsidR="0030599D" w:rsidRPr="0030599D" w:rsidTr="00F64B10">
        <w:tc>
          <w:tcPr>
            <w:tcW w:w="3397" w:type="dxa"/>
          </w:tcPr>
          <w:p w:rsidR="0030599D" w:rsidRPr="0030599D" w:rsidRDefault="0030599D" w:rsidP="0030599D">
            <w:r w:rsidRPr="0030599D">
              <w:t>2024</w:t>
            </w:r>
          </w:p>
        </w:tc>
        <w:tc>
          <w:tcPr>
            <w:tcW w:w="2356" w:type="dxa"/>
          </w:tcPr>
          <w:p w:rsidR="0030599D" w:rsidRPr="0030599D" w:rsidRDefault="0030599D" w:rsidP="0030599D">
            <w:r w:rsidRPr="0030599D">
              <w:t>355 833</w:t>
            </w:r>
          </w:p>
        </w:tc>
        <w:tc>
          <w:tcPr>
            <w:tcW w:w="2877" w:type="dxa"/>
          </w:tcPr>
          <w:p w:rsidR="0030599D" w:rsidRPr="0030599D" w:rsidRDefault="0030599D" w:rsidP="0030599D">
            <w:r w:rsidRPr="0030599D">
              <w:t>+43,2 %</w:t>
            </w:r>
          </w:p>
        </w:tc>
      </w:tr>
      <w:tr w:rsidR="0030599D" w:rsidRPr="0030599D" w:rsidTr="00F64B10">
        <w:tc>
          <w:tcPr>
            <w:tcW w:w="3397" w:type="dxa"/>
          </w:tcPr>
          <w:p w:rsidR="0030599D" w:rsidRPr="0030599D" w:rsidRDefault="0030599D" w:rsidP="0030599D">
            <w:r w:rsidRPr="0030599D">
              <w:t>2025 (</w:t>
            </w:r>
            <w:proofErr w:type="spellStart"/>
            <w:r w:rsidRPr="0030599D">
              <w:t>prognoos</w:t>
            </w:r>
            <w:proofErr w:type="spellEnd"/>
            <w:r w:rsidRPr="0030599D">
              <w:t>)</w:t>
            </w:r>
          </w:p>
        </w:tc>
        <w:tc>
          <w:tcPr>
            <w:tcW w:w="2356" w:type="dxa"/>
          </w:tcPr>
          <w:p w:rsidR="0030599D" w:rsidRPr="0030599D" w:rsidRDefault="0030599D" w:rsidP="0030599D">
            <w:r w:rsidRPr="0030599D">
              <w:t>367 491</w:t>
            </w:r>
          </w:p>
        </w:tc>
        <w:tc>
          <w:tcPr>
            <w:tcW w:w="2877" w:type="dxa"/>
          </w:tcPr>
          <w:p w:rsidR="0030599D" w:rsidRPr="0030599D" w:rsidRDefault="0030599D" w:rsidP="0030599D">
            <w:r w:rsidRPr="0030599D">
              <w:t>+47,9%</w:t>
            </w:r>
          </w:p>
        </w:tc>
      </w:tr>
    </w:tbl>
    <w:bookmarkEnd w:id="0"/>
    <w:p w:rsidR="0030599D" w:rsidRPr="0030599D" w:rsidRDefault="0030599D" w:rsidP="0030599D">
      <w:pPr>
        <w:keepNext/>
        <w:keepLines/>
        <w:spacing w:before="160" w:after="80"/>
        <w:jc w:val="both"/>
        <w:outlineLvl w:val="2"/>
        <w:rPr>
          <w:rFonts w:ascii="Times New Roman" w:eastAsiaTheme="majorEastAsia" w:hAnsi="Times New Roman" w:cs="Times New Roman"/>
          <w:b/>
          <w:color w:val="0F4761" w:themeColor="accent1" w:themeShade="BF"/>
        </w:rPr>
      </w:pPr>
      <w:r w:rsidRPr="0030599D">
        <w:rPr>
          <w:rFonts w:ascii="Times New Roman" w:eastAsiaTheme="majorEastAsia" w:hAnsi="Times New Roman" w:cs="Times New Roman"/>
          <w:b/>
          <w:color w:val="0F4761" w:themeColor="accent1" w:themeShade="BF"/>
        </w:rPr>
        <w:t>Veesõidukite kasutuse kasv</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Seoses PPA patrulltundide mahu kasvuga, on 2023. (baas)aastaga võrreldes PPA kasutuses olevate veesõidukite kasutusmäär tõusnud rohkem kui 15%.</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Veesõidukite mototund on tingühik, millega mõõdetakse seadme kasutust. Mototundide arv on otseses seoses seadme kulumisega ja hooldusvajaduse kasvuga.</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PPA kasutuses olevate veesõidukite kasutusmäära kasvu iseloomustav tabel:</w:t>
      </w:r>
    </w:p>
    <w:tbl>
      <w:tblPr>
        <w:tblStyle w:val="Kontuurtabel"/>
        <w:tblW w:w="0" w:type="auto"/>
        <w:tblLook w:val="04A0" w:firstRow="1" w:lastRow="0" w:firstColumn="1" w:lastColumn="0" w:noHBand="0" w:noVBand="1"/>
      </w:tblPr>
      <w:tblGrid>
        <w:gridCol w:w="3397"/>
        <w:gridCol w:w="2356"/>
        <w:gridCol w:w="2877"/>
      </w:tblGrid>
      <w:tr w:rsidR="0030599D" w:rsidRPr="0030599D" w:rsidTr="00F64B10">
        <w:tc>
          <w:tcPr>
            <w:tcW w:w="3397" w:type="dxa"/>
          </w:tcPr>
          <w:p w:rsidR="0030599D" w:rsidRPr="0030599D" w:rsidRDefault="0030599D" w:rsidP="0030599D">
            <w:bookmarkStart w:id="1" w:name="_Hlk205993515"/>
            <w:r w:rsidRPr="0030599D">
              <w:t>Aasta</w:t>
            </w:r>
          </w:p>
        </w:tc>
        <w:tc>
          <w:tcPr>
            <w:tcW w:w="2356" w:type="dxa"/>
          </w:tcPr>
          <w:p w:rsidR="0030599D" w:rsidRPr="0030599D" w:rsidRDefault="0030599D" w:rsidP="0030599D">
            <w:proofErr w:type="spellStart"/>
            <w:r w:rsidRPr="0030599D">
              <w:t>Mototundide</w:t>
            </w:r>
            <w:proofErr w:type="spellEnd"/>
            <w:r w:rsidRPr="0030599D">
              <w:t xml:space="preserve"> </w:t>
            </w:r>
            <w:proofErr w:type="spellStart"/>
            <w:r w:rsidRPr="0030599D">
              <w:t>arv</w:t>
            </w:r>
            <w:proofErr w:type="spellEnd"/>
          </w:p>
        </w:tc>
        <w:tc>
          <w:tcPr>
            <w:tcW w:w="2877" w:type="dxa"/>
          </w:tcPr>
          <w:p w:rsidR="0030599D" w:rsidRPr="0030599D" w:rsidRDefault="0030599D" w:rsidP="0030599D">
            <w:proofErr w:type="spellStart"/>
            <w:r w:rsidRPr="0030599D">
              <w:t>Kasv</w:t>
            </w:r>
            <w:proofErr w:type="spellEnd"/>
            <w:r w:rsidRPr="0030599D">
              <w:t xml:space="preserve"> </w:t>
            </w:r>
            <w:proofErr w:type="spellStart"/>
            <w:r w:rsidRPr="0030599D">
              <w:t>võrreldes</w:t>
            </w:r>
            <w:proofErr w:type="spellEnd"/>
            <w:r w:rsidRPr="0030599D">
              <w:t xml:space="preserve"> 2023. </w:t>
            </w:r>
            <w:proofErr w:type="spellStart"/>
            <w:r w:rsidRPr="0030599D">
              <w:t>aasta</w:t>
            </w:r>
            <w:proofErr w:type="spellEnd"/>
            <w:r w:rsidRPr="0030599D">
              <w:t xml:space="preserve"> </w:t>
            </w:r>
            <w:proofErr w:type="spellStart"/>
            <w:r w:rsidRPr="0030599D">
              <w:t>tasemega</w:t>
            </w:r>
            <w:proofErr w:type="spellEnd"/>
          </w:p>
        </w:tc>
      </w:tr>
      <w:tr w:rsidR="0030599D" w:rsidRPr="0030599D" w:rsidTr="00F64B10">
        <w:tc>
          <w:tcPr>
            <w:tcW w:w="3397" w:type="dxa"/>
          </w:tcPr>
          <w:p w:rsidR="0030599D" w:rsidRPr="0030599D" w:rsidRDefault="0030599D" w:rsidP="0030599D">
            <w:r w:rsidRPr="0030599D">
              <w:t>2023</w:t>
            </w:r>
          </w:p>
        </w:tc>
        <w:tc>
          <w:tcPr>
            <w:tcW w:w="2356" w:type="dxa"/>
          </w:tcPr>
          <w:p w:rsidR="0030599D" w:rsidRPr="0030599D" w:rsidRDefault="0030599D" w:rsidP="0030599D">
            <w:r w:rsidRPr="0030599D">
              <w:t>9 412</w:t>
            </w:r>
          </w:p>
        </w:tc>
        <w:tc>
          <w:tcPr>
            <w:tcW w:w="2877" w:type="dxa"/>
          </w:tcPr>
          <w:p w:rsidR="0030599D" w:rsidRPr="0030599D" w:rsidRDefault="0030599D" w:rsidP="0030599D">
            <w:proofErr w:type="spellStart"/>
            <w:r w:rsidRPr="0030599D">
              <w:t>Baastase</w:t>
            </w:r>
            <w:proofErr w:type="spellEnd"/>
          </w:p>
        </w:tc>
      </w:tr>
      <w:tr w:rsidR="0030599D" w:rsidRPr="0030599D" w:rsidTr="00F64B10">
        <w:tc>
          <w:tcPr>
            <w:tcW w:w="3397" w:type="dxa"/>
          </w:tcPr>
          <w:p w:rsidR="0030599D" w:rsidRPr="0030599D" w:rsidRDefault="0030599D" w:rsidP="0030599D">
            <w:r w:rsidRPr="0030599D">
              <w:t>2024</w:t>
            </w:r>
          </w:p>
        </w:tc>
        <w:tc>
          <w:tcPr>
            <w:tcW w:w="2356" w:type="dxa"/>
          </w:tcPr>
          <w:p w:rsidR="0030599D" w:rsidRPr="0030599D" w:rsidRDefault="0030599D" w:rsidP="0030599D">
            <w:r w:rsidRPr="0030599D">
              <w:t>10 868</w:t>
            </w:r>
          </w:p>
        </w:tc>
        <w:tc>
          <w:tcPr>
            <w:tcW w:w="2877" w:type="dxa"/>
          </w:tcPr>
          <w:p w:rsidR="0030599D" w:rsidRPr="0030599D" w:rsidRDefault="0030599D" w:rsidP="0030599D">
            <w:r w:rsidRPr="0030599D">
              <w:t>+15,5 %</w:t>
            </w:r>
          </w:p>
        </w:tc>
      </w:tr>
      <w:tr w:rsidR="0030599D" w:rsidRPr="0030599D" w:rsidTr="00F64B10">
        <w:tc>
          <w:tcPr>
            <w:tcW w:w="3397" w:type="dxa"/>
          </w:tcPr>
          <w:p w:rsidR="0030599D" w:rsidRPr="0030599D" w:rsidRDefault="0030599D" w:rsidP="0030599D">
            <w:r w:rsidRPr="0030599D">
              <w:t>2025 (</w:t>
            </w:r>
            <w:proofErr w:type="spellStart"/>
            <w:r w:rsidRPr="0030599D">
              <w:t>prognoos</w:t>
            </w:r>
            <w:proofErr w:type="spellEnd"/>
            <w:r w:rsidRPr="0030599D">
              <w:t>)</w:t>
            </w:r>
          </w:p>
        </w:tc>
        <w:tc>
          <w:tcPr>
            <w:tcW w:w="2356" w:type="dxa"/>
          </w:tcPr>
          <w:p w:rsidR="0030599D" w:rsidRPr="0030599D" w:rsidRDefault="0030599D" w:rsidP="0030599D">
            <w:r w:rsidRPr="0030599D">
              <w:t>10 991</w:t>
            </w:r>
          </w:p>
        </w:tc>
        <w:tc>
          <w:tcPr>
            <w:tcW w:w="2877" w:type="dxa"/>
          </w:tcPr>
          <w:p w:rsidR="0030599D" w:rsidRPr="0030599D" w:rsidRDefault="0030599D" w:rsidP="0030599D">
            <w:r w:rsidRPr="0030599D">
              <w:t>+16,8 %</w:t>
            </w:r>
          </w:p>
        </w:tc>
      </w:tr>
    </w:tbl>
    <w:bookmarkEnd w:id="1"/>
    <w:p w:rsidR="0030599D" w:rsidRPr="0030599D" w:rsidRDefault="0030599D" w:rsidP="0030599D">
      <w:pPr>
        <w:keepNext/>
        <w:keepLines/>
        <w:spacing w:before="160" w:after="80"/>
        <w:jc w:val="both"/>
        <w:outlineLvl w:val="2"/>
        <w:rPr>
          <w:rFonts w:ascii="Times New Roman" w:eastAsiaTheme="majorEastAsia" w:hAnsi="Times New Roman" w:cs="Times New Roman"/>
          <w:b/>
          <w:color w:val="0F4761" w:themeColor="accent1" w:themeShade="BF"/>
        </w:rPr>
      </w:pPr>
      <w:r w:rsidRPr="0030599D">
        <w:rPr>
          <w:rFonts w:ascii="Times New Roman" w:eastAsiaTheme="majorEastAsia" w:hAnsi="Times New Roman" w:cs="Times New Roman"/>
          <w:b/>
          <w:color w:val="0F4761" w:themeColor="accent1" w:themeShade="BF"/>
        </w:rPr>
        <w:t>Suurenenud hoolduskulude sisendhinnad</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Alates 2022. aastast (baastaseme eelarve arvestuse alus aasta) on hüppeliselt suurenenud hoolduse ja varuosade sisendhind, mis on hooldusteenuse vältimatu kulu veesõidukite elukaare säilimise tagamiseks.</w:t>
      </w:r>
    </w:p>
    <w:tbl>
      <w:tblPr>
        <w:tblStyle w:val="Kontuurtabel"/>
        <w:tblW w:w="0" w:type="auto"/>
        <w:tblLook w:val="04A0" w:firstRow="1" w:lastRow="0" w:firstColumn="1" w:lastColumn="0" w:noHBand="0" w:noVBand="1"/>
      </w:tblPr>
      <w:tblGrid>
        <w:gridCol w:w="3397"/>
        <w:gridCol w:w="2356"/>
        <w:gridCol w:w="2877"/>
      </w:tblGrid>
      <w:tr w:rsidR="0030599D" w:rsidRPr="0030599D" w:rsidTr="00F64B10">
        <w:tc>
          <w:tcPr>
            <w:tcW w:w="3397" w:type="dxa"/>
          </w:tcPr>
          <w:p w:rsidR="0030599D" w:rsidRPr="0030599D" w:rsidRDefault="0030599D" w:rsidP="0030599D">
            <w:r w:rsidRPr="0030599D">
              <w:t>Aasta</w:t>
            </w:r>
          </w:p>
        </w:tc>
        <w:tc>
          <w:tcPr>
            <w:tcW w:w="2356" w:type="dxa"/>
          </w:tcPr>
          <w:p w:rsidR="0030599D" w:rsidRPr="0030599D" w:rsidRDefault="0030599D" w:rsidP="0030599D">
            <w:proofErr w:type="spellStart"/>
            <w:r w:rsidRPr="0030599D">
              <w:t>Töötunni</w:t>
            </w:r>
            <w:proofErr w:type="spellEnd"/>
            <w:r w:rsidRPr="0030599D">
              <w:t xml:space="preserve"> </w:t>
            </w:r>
            <w:proofErr w:type="spellStart"/>
            <w:r w:rsidRPr="0030599D">
              <w:t>maksumus</w:t>
            </w:r>
            <w:proofErr w:type="spellEnd"/>
            <w:r w:rsidRPr="0030599D">
              <w:t xml:space="preserve"> [€]</w:t>
            </w:r>
          </w:p>
        </w:tc>
        <w:tc>
          <w:tcPr>
            <w:tcW w:w="2877" w:type="dxa"/>
          </w:tcPr>
          <w:p w:rsidR="0030599D" w:rsidRPr="0030599D" w:rsidRDefault="0030599D" w:rsidP="0030599D">
            <w:proofErr w:type="spellStart"/>
            <w:r w:rsidRPr="0030599D">
              <w:t>Kasv</w:t>
            </w:r>
            <w:proofErr w:type="spellEnd"/>
            <w:r w:rsidRPr="0030599D">
              <w:t xml:space="preserve"> </w:t>
            </w:r>
            <w:proofErr w:type="spellStart"/>
            <w:r w:rsidRPr="0030599D">
              <w:t>võrreldes</w:t>
            </w:r>
            <w:proofErr w:type="spellEnd"/>
            <w:r w:rsidRPr="0030599D">
              <w:t xml:space="preserve"> 2022. </w:t>
            </w:r>
            <w:proofErr w:type="spellStart"/>
            <w:r w:rsidRPr="0030599D">
              <w:t>aasta</w:t>
            </w:r>
            <w:proofErr w:type="spellEnd"/>
            <w:r w:rsidRPr="0030599D">
              <w:t xml:space="preserve"> </w:t>
            </w:r>
            <w:proofErr w:type="spellStart"/>
            <w:r w:rsidRPr="0030599D">
              <w:t>tasemega</w:t>
            </w:r>
            <w:proofErr w:type="spellEnd"/>
          </w:p>
        </w:tc>
      </w:tr>
      <w:tr w:rsidR="0030599D" w:rsidRPr="0030599D" w:rsidTr="00F64B10">
        <w:tc>
          <w:tcPr>
            <w:tcW w:w="3397" w:type="dxa"/>
          </w:tcPr>
          <w:p w:rsidR="0030599D" w:rsidRPr="0030599D" w:rsidRDefault="0030599D" w:rsidP="0030599D">
            <w:r w:rsidRPr="0030599D">
              <w:t>2022</w:t>
            </w:r>
          </w:p>
        </w:tc>
        <w:tc>
          <w:tcPr>
            <w:tcW w:w="2356" w:type="dxa"/>
          </w:tcPr>
          <w:p w:rsidR="0030599D" w:rsidRPr="0030599D" w:rsidRDefault="0030599D" w:rsidP="0030599D">
            <w:r w:rsidRPr="0030599D">
              <w:t>62</w:t>
            </w:r>
          </w:p>
        </w:tc>
        <w:tc>
          <w:tcPr>
            <w:tcW w:w="2877" w:type="dxa"/>
          </w:tcPr>
          <w:p w:rsidR="0030599D" w:rsidRPr="0030599D" w:rsidRDefault="0030599D" w:rsidP="0030599D">
            <w:proofErr w:type="spellStart"/>
            <w:r w:rsidRPr="0030599D">
              <w:t>Baastase</w:t>
            </w:r>
            <w:proofErr w:type="spellEnd"/>
          </w:p>
        </w:tc>
      </w:tr>
      <w:tr w:rsidR="0030599D" w:rsidRPr="0030599D" w:rsidTr="00F64B10">
        <w:tc>
          <w:tcPr>
            <w:tcW w:w="3397" w:type="dxa"/>
          </w:tcPr>
          <w:p w:rsidR="0030599D" w:rsidRPr="0030599D" w:rsidRDefault="0030599D" w:rsidP="0030599D">
            <w:r w:rsidRPr="0030599D">
              <w:t>2023</w:t>
            </w:r>
          </w:p>
        </w:tc>
        <w:tc>
          <w:tcPr>
            <w:tcW w:w="2356" w:type="dxa"/>
          </w:tcPr>
          <w:p w:rsidR="0030599D" w:rsidRPr="0030599D" w:rsidRDefault="0030599D" w:rsidP="0030599D">
            <w:r w:rsidRPr="0030599D">
              <w:t>75</w:t>
            </w:r>
          </w:p>
        </w:tc>
        <w:tc>
          <w:tcPr>
            <w:tcW w:w="2877" w:type="dxa"/>
          </w:tcPr>
          <w:p w:rsidR="0030599D" w:rsidRPr="0030599D" w:rsidRDefault="0030599D" w:rsidP="0030599D">
            <w:r w:rsidRPr="0030599D">
              <w:t>+21,0 %</w:t>
            </w:r>
          </w:p>
        </w:tc>
      </w:tr>
      <w:tr w:rsidR="0030599D" w:rsidRPr="0030599D" w:rsidTr="00F64B10">
        <w:tc>
          <w:tcPr>
            <w:tcW w:w="3397" w:type="dxa"/>
          </w:tcPr>
          <w:p w:rsidR="0030599D" w:rsidRPr="0030599D" w:rsidRDefault="0030599D" w:rsidP="0030599D">
            <w:r w:rsidRPr="0030599D">
              <w:t>2024</w:t>
            </w:r>
          </w:p>
        </w:tc>
        <w:tc>
          <w:tcPr>
            <w:tcW w:w="2356" w:type="dxa"/>
          </w:tcPr>
          <w:p w:rsidR="0030599D" w:rsidRPr="0030599D" w:rsidRDefault="0030599D" w:rsidP="0030599D">
            <w:r w:rsidRPr="0030599D">
              <w:t>79</w:t>
            </w:r>
          </w:p>
        </w:tc>
        <w:tc>
          <w:tcPr>
            <w:tcW w:w="2877" w:type="dxa"/>
          </w:tcPr>
          <w:p w:rsidR="0030599D" w:rsidRPr="0030599D" w:rsidRDefault="0030599D" w:rsidP="0030599D">
            <w:r w:rsidRPr="0030599D">
              <w:t>+27,4 %</w:t>
            </w:r>
          </w:p>
        </w:tc>
      </w:tr>
      <w:tr w:rsidR="0030599D" w:rsidRPr="0030599D" w:rsidTr="00F64B10">
        <w:tc>
          <w:tcPr>
            <w:tcW w:w="3397" w:type="dxa"/>
          </w:tcPr>
          <w:p w:rsidR="0030599D" w:rsidRPr="0030599D" w:rsidRDefault="0030599D" w:rsidP="0030599D">
            <w:r w:rsidRPr="0030599D">
              <w:t xml:space="preserve">2025 </w:t>
            </w:r>
          </w:p>
        </w:tc>
        <w:tc>
          <w:tcPr>
            <w:tcW w:w="2356" w:type="dxa"/>
          </w:tcPr>
          <w:p w:rsidR="0030599D" w:rsidRPr="0030599D" w:rsidRDefault="0030599D" w:rsidP="0030599D">
            <w:r w:rsidRPr="0030599D">
              <w:t>85</w:t>
            </w:r>
          </w:p>
        </w:tc>
        <w:tc>
          <w:tcPr>
            <w:tcW w:w="2877" w:type="dxa"/>
          </w:tcPr>
          <w:p w:rsidR="0030599D" w:rsidRPr="0030599D" w:rsidRDefault="0030599D" w:rsidP="0030599D">
            <w:r w:rsidRPr="0030599D">
              <w:t>+37,1 %</w:t>
            </w:r>
          </w:p>
        </w:tc>
      </w:tr>
    </w:tbl>
    <w:p w:rsidR="0030599D" w:rsidRPr="0030599D" w:rsidRDefault="0030599D" w:rsidP="0030599D">
      <w:pPr>
        <w:keepNext/>
        <w:keepLines/>
        <w:spacing w:before="160" w:after="80"/>
        <w:jc w:val="both"/>
        <w:outlineLvl w:val="2"/>
        <w:rPr>
          <w:rFonts w:ascii="Times New Roman" w:eastAsiaTheme="majorEastAsia" w:hAnsi="Times New Roman" w:cs="Times New Roman"/>
          <w:b/>
          <w:color w:val="0F4761" w:themeColor="accent1" w:themeShade="BF"/>
        </w:rPr>
      </w:pPr>
      <w:r w:rsidRPr="0030599D">
        <w:rPr>
          <w:rFonts w:ascii="Times New Roman" w:eastAsiaTheme="majorEastAsia" w:hAnsi="Times New Roman" w:cs="Times New Roman"/>
          <w:b/>
          <w:color w:val="0F4761" w:themeColor="accent1" w:themeShade="BF"/>
        </w:rPr>
        <w:t>Lisandunud ja lisanduvad veesõidukid</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Riigilaevastiku ajal (alates 01.07.2023) on täienenud PPA veeliste tegevuste võimelüngad sobilikumate, moodsamate, multifunktsionaalsemate, võimekamate ja ühtlasi ka raskemate veesõidukitega, mis sama reageerimiskiiruse hoidmiseks tarbivad kütust oluliselt rohkem.</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PPA võimelünki on täiendatud järgmiste veesõidukitega:</w:t>
      </w:r>
    </w:p>
    <w:tbl>
      <w:tblPr>
        <w:tblStyle w:val="Kontuurtabel"/>
        <w:tblW w:w="0" w:type="auto"/>
        <w:tblLook w:val="04A0" w:firstRow="1" w:lastRow="0" w:firstColumn="1" w:lastColumn="0" w:noHBand="0" w:noVBand="1"/>
      </w:tblPr>
      <w:tblGrid>
        <w:gridCol w:w="1838"/>
        <w:gridCol w:w="4820"/>
        <w:gridCol w:w="1972"/>
      </w:tblGrid>
      <w:tr w:rsidR="0030599D" w:rsidRPr="0030599D" w:rsidTr="00F64B10">
        <w:tc>
          <w:tcPr>
            <w:tcW w:w="1838" w:type="dxa"/>
          </w:tcPr>
          <w:p w:rsidR="0030599D" w:rsidRPr="0030599D" w:rsidRDefault="0030599D" w:rsidP="0030599D">
            <w:r w:rsidRPr="0030599D">
              <w:t>Aasta</w:t>
            </w:r>
          </w:p>
        </w:tc>
        <w:tc>
          <w:tcPr>
            <w:tcW w:w="4820" w:type="dxa"/>
          </w:tcPr>
          <w:p w:rsidR="0030599D" w:rsidRPr="0030599D" w:rsidRDefault="0030599D" w:rsidP="0030599D">
            <w:proofErr w:type="spellStart"/>
            <w:r w:rsidRPr="0030599D">
              <w:t>Tüüp</w:t>
            </w:r>
            <w:proofErr w:type="spellEnd"/>
          </w:p>
        </w:tc>
        <w:tc>
          <w:tcPr>
            <w:tcW w:w="1972" w:type="dxa"/>
          </w:tcPr>
          <w:p w:rsidR="0030599D" w:rsidRPr="0030599D" w:rsidRDefault="0030599D" w:rsidP="0030599D">
            <w:proofErr w:type="spellStart"/>
            <w:r w:rsidRPr="0030599D">
              <w:t>Lisanduvate</w:t>
            </w:r>
            <w:proofErr w:type="spellEnd"/>
            <w:r w:rsidRPr="0030599D">
              <w:t xml:space="preserve"> </w:t>
            </w:r>
            <w:proofErr w:type="spellStart"/>
            <w:r w:rsidRPr="0030599D">
              <w:t>veesõidukite</w:t>
            </w:r>
            <w:proofErr w:type="spellEnd"/>
            <w:r w:rsidRPr="0030599D">
              <w:t xml:space="preserve"> </w:t>
            </w:r>
            <w:proofErr w:type="spellStart"/>
            <w:r w:rsidRPr="0030599D">
              <w:t>arv</w:t>
            </w:r>
            <w:proofErr w:type="spellEnd"/>
          </w:p>
        </w:tc>
      </w:tr>
      <w:tr w:rsidR="0030599D" w:rsidRPr="0030599D" w:rsidTr="00F64B10">
        <w:tc>
          <w:tcPr>
            <w:tcW w:w="1838" w:type="dxa"/>
          </w:tcPr>
          <w:p w:rsidR="0030599D" w:rsidRPr="0030599D" w:rsidRDefault="0030599D" w:rsidP="0030599D">
            <w:r w:rsidRPr="0030599D">
              <w:t>2023</w:t>
            </w:r>
          </w:p>
        </w:tc>
        <w:tc>
          <w:tcPr>
            <w:tcW w:w="4820" w:type="dxa"/>
          </w:tcPr>
          <w:p w:rsidR="0030599D" w:rsidRPr="0030599D" w:rsidRDefault="0030599D" w:rsidP="0030599D">
            <w:proofErr w:type="spellStart"/>
            <w:r w:rsidRPr="0030599D">
              <w:t>Kaater</w:t>
            </w:r>
            <w:proofErr w:type="spellEnd"/>
            <w:r w:rsidRPr="0030599D">
              <w:t xml:space="preserve"> (Rahu), M-3 </w:t>
            </w:r>
            <w:proofErr w:type="spellStart"/>
            <w:r w:rsidRPr="0030599D">
              <w:t>mootorpaat</w:t>
            </w:r>
            <w:proofErr w:type="spellEnd"/>
            <w:r w:rsidRPr="0030599D">
              <w:t xml:space="preserve"> (Tuule, Terje)</w:t>
            </w:r>
          </w:p>
        </w:tc>
        <w:tc>
          <w:tcPr>
            <w:tcW w:w="1972" w:type="dxa"/>
          </w:tcPr>
          <w:p w:rsidR="0030599D" w:rsidRPr="0030599D" w:rsidRDefault="0030599D" w:rsidP="0030599D">
            <w:r w:rsidRPr="0030599D">
              <w:t>3</w:t>
            </w:r>
          </w:p>
        </w:tc>
      </w:tr>
      <w:tr w:rsidR="0030599D" w:rsidRPr="0030599D" w:rsidTr="00F64B10">
        <w:tc>
          <w:tcPr>
            <w:tcW w:w="1838" w:type="dxa"/>
          </w:tcPr>
          <w:p w:rsidR="0030599D" w:rsidRPr="0030599D" w:rsidRDefault="0030599D" w:rsidP="0030599D">
            <w:r w:rsidRPr="0030599D">
              <w:t>2024</w:t>
            </w:r>
          </w:p>
        </w:tc>
        <w:tc>
          <w:tcPr>
            <w:tcW w:w="4820" w:type="dxa"/>
          </w:tcPr>
          <w:p w:rsidR="0030599D" w:rsidRPr="0030599D" w:rsidRDefault="0030599D" w:rsidP="0030599D">
            <w:r w:rsidRPr="0030599D">
              <w:t xml:space="preserve">M-3 </w:t>
            </w:r>
            <w:proofErr w:type="spellStart"/>
            <w:r w:rsidRPr="0030599D">
              <w:t>mootorpaat</w:t>
            </w:r>
            <w:proofErr w:type="spellEnd"/>
            <w:r w:rsidRPr="0030599D">
              <w:t xml:space="preserve"> (M25, M26, M27)</w:t>
            </w:r>
          </w:p>
        </w:tc>
        <w:tc>
          <w:tcPr>
            <w:tcW w:w="1972" w:type="dxa"/>
          </w:tcPr>
          <w:p w:rsidR="0030599D" w:rsidRPr="0030599D" w:rsidRDefault="0030599D" w:rsidP="0030599D">
            <w:r w:rsidRPr="0030599D">
              <w:t>3</w:t>
            </w:r>
          </w:p>
        </w:tc>
      </w:tr>
      <w:tr w:rsidR="0030599D" w:rsidRPr="0030599D" w:rsidTr="00F64B10">
        <w:tc>
          <w:tcPr>
            <w:tcW w:w="1838" w:type="dxa"/>
          </w:tcPr>
          <w:p w:rsidR="0030599D" w:rsidRPr="0030599D" w:rsidRDefault="0030599D" w:rsidP="0030599D">
            <w:r w:rsidRPr="0030599D">
              <w:t xml:space="preserve">2025 </w:t>
            </w:r>
          </w:p>
        </w:tc>
        <w:tc>
          <w:tcPr>
            <w:tcW w:w="4820" w:type="dxa"/>
          </w:tcPr>
          <w:p w:rsidR="0030599D" w:rsidRPr="0030599D" w:rsidRDefault="0030599D" w:rsidP="0030599D">
            <w:r w:rsidRPr="0030599D">
              <w:t xml:space="preserve">H-1 </w:t>
            </w:r>
            <w:proofErr w:type="spellStart"/>
            <w:r w:rsidRPr="0030599D">
              <w:t>hõljuk</w:t>
            </w:r>
            <w:proofErr w:type="spellEnd"/>
            <w:r w:rsidRPr="0030599D">
              <w:t xml:space="preserve"> (2 </w:t>
            </w:r>
            <w:proofErr w:type="spellStart"/>
            <w:r w:rsidRPr="0030599D">
              <w:t>tk</w:t>
            </w:r>
            <w:proofErr w:type="spellEnd"/>
            <w:r w:rsidRPr="0030599D">
              <w:t>)</w:t>
            </w:r>
          </w:p>
        </w:tc>
        <w:tc>
          <w:tcPr>
            <w:tcW w:w="1972" w:type="dxa"/>
          </w:tcPr>
          <w:p w:rsidR="0030599D" w:rsidRPr="0030599D" w:rsidRDefault="0030599D" w:rsidP="0030599D">
            <w:r w:rsidRPr="0030599D">
              <w:t>2</w:t>
            </w:r>
          </w:p>
        </w:tc>
      </w:tr>
      <w:tr w:rsidR="0030599D" w:rsidRPr="0030599D" w:rsidTr="00F64B10">
        <w:tc>
          <w:tcPr>
            <w:tcW w:w="1838" w:type="dxa"/>
          </w:tcPr>
          <w:p w:rsidR="0030599D" w:rsidRPr="0030599D" w:rsidRDefault="0030599D" w:rsidP="0030599D">
            <w:r w:rsidRPr="0030599D">
              <w:t>2026</w:t>
            </w:r>
          </w:p>
        </w:tc>
        <w:tc>
          <w:tcPr>
            <w:tcW w:w="4820" w:type="dxa"/>
          </w:tcPr>
          <w:p w:rsidR="0030599D" w:rsidRPr="0030599D" w:rsidRDefault="0030599D" w:rsidP="0030599D">
            <w:r w:rsidRPr="0030599D">
              <w:t xml:space="preserve">H-1 </w:t>
            </w:r>
            <w:proofErr w:type="spellStart"/>
            <w:r w:rsidRPr="0030599D">
              <w:t>hõljuk</w:t>
            </w:r>
            <w:proofErr w:type="spellEnd"/>
            <w:r w:rsidRPr="0030599D">
              <w:t xml:space="preserve"> (2 </w:t>
            </w:r>
            <w:proofErr w:type="spellStart"/>
            <w:r w:rsidRPr="0030599D">
              <w:t>tk</w:t>
            </w:r>
            <w:proofErr w:type="spellEnd"/>
            <w:r w:rsidRPr="0030599D">
              <w:t xml:space="preserve">), H-2 </w:t>
            </w:r>
            <w:proofErr w:type="spellStart"/>
            <w:r w:rsidRPr="0030599D">
              <w:t>hõljuk</w:t>
            </w:r>
            <w:proofErr w:type="spellEnd"/>
            <w:r w:rsidRPr="0030599D">
              <w:t xml:space="preserve"> (1 </w:t>
            </w:r>
            <w:proofErr w:type="spellStart"/>
            <w:r w:rsidRPr="0030599D">
              <w:t>tk</w:t>
            </w:r>
            <w:proofErr w:type="spellEnd"/>
            <w:r w:rsidRPr="0030599D">
              <w:t xml:space="preserve">), M-3 </w:t>
            </w:r>
            <w:proofErr w:type="spellStart"/>
            <w:r w:rsidRPr="0030599D">
              <w:t>mootorpaat</w:t>
            </w:r>
            <w:proofErr w:type="spellEnd"/>
            <w:r w:rsidRPr="0030599D">
              <w:t xml:space="preserve"> (3 </w:t>
            </w:r>
            <w:proofErr w:type="spellStart"/>
            <w:r w:rsidRPr="0030599D">
              <w:t>tk</w:t>
            </w:r>
            <w:proofErr w:type="spellEnd"/>
            <w:r w:rsidRPr="0030599D">
              <w:t>)</w:t>
            </w:r>
          </w:p>
        </w:tc>
        <w:tc>
          <w:tcPr>
            <w:tcW w:w="1972" w:type="dxa"/>
          </w:tcPr>
          <w:p w:rsidR="0030599D" w:rsidRPr="0030599D" w:rsidRDefault="0030599D" w:rsidP="0030599D">
            <w:r w:rsidRPr="0030599D">
              <w:t>6</w:t>
            </w:r>
          </w:p>
        </w:tc>
      </w:tr>
    </w:tbl>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Uued soetatud ja soetatavad veesõidukid vastavad tänapäevastele PPA teenistuseks vajalikele nõudmistele.</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 xml:space="preserve">Nimetatud veesõidukid on Riigilaevastiku loomisele eelnenud aja PPA veelise tegevuse võimelünga täiendus ja lisanduv kulu Riigilaevastiku eelarvele. </w:t>
      </w:r>
    </w:p>
    <w:p w:rsidR="0030599D" w:rsidRPr="0030599D" w:rsidRDefault="0030599D" w:rsidP="0030599D">
      <w:pPr>
        <w:keepNext/>
        <w:keepLines/>
        <w:spacing w:before="160" w:after="80"/>
        <w:jc w:val="both"/>
        <w:outlineLvl w:val="1"/>
        <w:rPr>
          <w:rFonts w:ascii="Times New Roman" w:eastAsiaTheme="majorEastAsia" w:hAnsi="Times New Roman" w:cs="Times New Roman"/>
          <w:b/>
          <w:color w:val="0F4761" w:themeColor="accent1" w:themeShade="BF"/>
          <w:sz w:val="28"/>
          <w:szCs w:val="28"/>
        </w:rPr>
      </w:pPr>
      <w:r w:rsidRPr="0030599D">
        <w:rPr>
          <w:rFonts w:ascii="Times New Roman" w:eastAsiaTheme="majorEastAsia" w:hAnsi="Times New Roman" w:cs="Times New Roman"/>
          <w:b/>
          <w:color w:val="0F4761" w:themeColor="accent1" w:themeShade="BF"/>
          <w:sz w:val="28"/>
          <w:szCs w:val="28"/>
        </w:rPr>
        <w:t>Mõjude kirjeldus</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Teenus on alarahastatud, et tagada PPA poolt planeeritud mahtudega tegevused tänase kvaliteediga.</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Krooniline PPA veeliste põhiülesannete täitmiseks vajalike vahendite alarahastus on kumuleerinud tehnilise kulumi. Lisaks toob veesõidukite elukaare säilitamiseks vajalike vahendite krooniline defitsiit kaasa elukaare olulise kallinemise ja suurema kulu riigile, kuna hoolduse arvelt kokku hoidmine toob lisaks teenuse katkemisele kaasa ka suurema rahalise kulu erakorralisel remondil.</w:t>
      </w:r>
    </w:p>
    <w:p w:rsidR="0030599D" w:rsidRPr="0030599D" w:rsidRDefault="0030599D" w:rsidP="0030599D">
      <w:pPr>
        <w:spacing w:after="200" w:line="276" w:lineRule="auto"/>
        <w:jc w:val="both"/>
        <w:rPr>
          <w:rFonts w:ascii="Times New Roman" w:eastAsiaTheme="minorEastAsia" w:hAnsi="Times New Roman" w:cs="Times New Roman"/>
          <w:kern w:val="0"/>
          <w14:ligatures w14:val="none"/>
        </w:rPr>
      </w:pPr>
      <w:r w:rsidRPr="0030599D">
        <w:rPr>
          <w:rFonts w:ascii="Times New Roman" w:eastAsiaTheme="minorEastAsia" w:hAnsi="Times New Roman" w:cs="Times New Roman"/>
          <w:kern w:val="0"/>
          <w14:ligatures w14:val="none"/>
        </w:rPr>
        <w:t>Ilma lisarahastuseta on suur risk riiklikule julgeolekule ja avalikule korrale, kuna eelarvestatud vahenditest ei piisa tänase mahu ja kvaliteediga teenuse tagamiseks, veesõidukite kütuse hankimiseks ning suureneb veesõidukite rikete esinemise tõenäosus ja rikete kõrvaldamisele kuluv aeg, mis toob kaasa tõenäosuse, et  veesõidukid ei ole ekspluatatsioonikõlbulikud. See toob kaasa selle, et riik läbi PPA ei suuda osutada veelist teenust, täita ülesandeid ega operatiivseid kohustusi merehädaliste päästmisel Eesti otsingu- ja päästepiirkonnas ning Euroopa Liidu välispiiri valvamisel piiriveekogudel.</w:t>
      </w:r>
    </w:p>
    <w:p w:rsidR="0030599D" w:rsidRPr="0030599D" w:rsidRDefault="0030599D" w:rsidP="0030599D">
      <w:pPr>
        <w:keepNext/>
        <w:keepLines/>
        <w:spacing w:before="160" w:after="80"/>
        <w:jc w:val="both"/>
        <w:outlineLvl w:val="1"/>
        <w:rPr>
          <w:rFonts w:ascii="Times New Roman" w:eastAsiaTheme="majorEastAsia" w:hAnsi="Times New Roman" w:cs="Times New Roman"/>
          <w:b/>
          <w:color w:val="0F4761" w:themeColor="accent1" w:themeShade="BF"/>
          <w:sz w:val="28"/>
          <w:szCs w:val="28"/>
        </w:rPr>
      </w:pPr>
      <w:r w:rsidRPr="0030599D">
        <w:rPr>
          <w:rFonts w:ascii="Times New Roman" w:eastAsiaTheme="majorEastAsia" w:hAnsi="Times New Roman" w:cs="Times New Roman"/>
          <w:b/>
          <w:color w:val="0F4761" w:themeColor="accent1" w:themeShade="BF"/>
          <w:sz w:val="28"/>
          <w:szCs w:val="28"/>
        </w:rPr>
        <w:t>Koostaja</w:t>
      </w:r>
    </w:p>
    <w:p w:rsidR="0030599D" w:rsidRPr="0030599D" w:rsidRDefault="001C4659" w:rsidP="0030599D">
      <w:pPr>
        <w:spacing w:after="200" w:line="276" w:lineRule="auto"/>
        <w:ind w:left="720"/>
        <w:jc w:val="both"/>
        <w:rPr>
          <w:rFonts w:ascii="Times New Roman" w:eastAsiaTheme="minorEastAsia" w:hAnsi="Times New Roman" w:cs="Times New Roman"/>
          <w:kern w:val="0"/>
          <w14:ligatures w14:val="none"/>
        </w:rPr>
      </w:pPr>
      <w:r w:rsidRPr="001C4659">
        <w:rPr>
          <w:rFonts w:ascii="Times New Roman" w:eastAsiaTheme="minorEastAsia" w:hAnsi="Times New Roman" w:cs="Times New Roman"/>
          <w:kern w:val="0"/>
          <w14:ligatures w14:val="none"/>
        </w:rPr>
        <w:t>Neeme Muru, Riigilaevastiku tehnilise halduse ja planeerimise teenistuse</w:t>
      </w:r>
      <w:r>
        <w:rPr>
          <w:rFonts w:ascii="Times New Roman" w:eastAsiaTheme="minorEastAsia" w:hAnsi="Times New Roman" w:cs="Times New Roman"/>
          <w:kern w:val="0"/>
          <w14:ligatures w14:val="none"/>
        </w:rPr>
        <w:t xml:space="preserve"> </w:t>
      </w:r>
      <w:proofErr w:type="spellStart"/>
      <w:r>
        <w:rPr>
          <w:rFonts w:ascii="Times New Roman" w:eastAsiaTheme="minorEastAsia" w:hAnsi="Times New Roman" w:cs="Times New Roman"/>
          <w:kern w:val="0"/>
          <w14:ligatures w14:val="none"/>
        </w:rPr>
        <w:t>direkor</w:t>
      </w:r>
      <w:proofErr w:type="spellEnd"/>
      <w:r w:rsidR="0030599D" w:rsidRPr="0030599D">
        <w:rPr>
          <w:rFonts w:ascii="Times New Roman" w:eastAsiaTheme="minorEastAsia" w:hAnsi="Times New Roman" w:cs="Times New Roman"/>
          <w:kern w:val="0"/>
          <w14:ligatures w14:val="none"/>
        </w:rPr>
        <w:t xml:space="preserve">, koostöös: </w:t>
      </w:r>
    </w:p>
    <w:p w:rsidR="001C4659" w:rsidRDefault="001C4659" w:rsidP="0030599D">
      <w:pPr>
        <w:spacing w:after="200" w:line="276" w:lineRule="auto"/>
        <w:ind w:left="720"/>
        <w:jc w:val="both"/>
        <w:rPr>
          <w:rFonts w:ascii="Times New Roman" w:eastAsiaTheme="minorEastAsia" w:hAnsi="Times New Roman" w:cs="Times New Roman"/>
          <w:kern w:val="0"/>
          <w14:ligatures w14:val="none"/>
        </w:rPr>
      </w:pPr>
      <w:r w:rsidRPr="001C4659">
        <w:rPr>
          <w:rFonts w:ascii="Times New Roman" w:eastAsiaTheme="minorEastAsia" w:hAnsi="Times New Roman" w:cs="Times New Roman"/>
          <w:kern w:val="0"/>
          <w14:ligatures w14:val="none"/>
        </w:rPr>
        <w:t>Rene Hartõkainen, Politsei- ja Piirivalveamet, valmisoleku ja reageerimise büroo, mereturvalisuse grupi juht</w:t>
      </w:r>
    </w:p>
    <w:p w:rsidR="0030599D" w:rsidRPr="0030599D" w:rsidRDefault="0030599D" w:rsidP="0030599D">
      <w:pPr>
        <w:spacing w:after="200" w:line="276" w:lineRule="auto"/>
        <w:ind w:left="720"/>
        <w:jc w:val="both"/>
        <w:rPr>
          <w:rFonts w:eastAsiaTheme="minorEastAsia"/>
          <w:kern w:val="0"/>
          <w:sz w:val="22"/>
          <w:szCs w:val="22"/>
          <w14:ligatures w14:val="none"/>
        </w:rPr>
      </w:pPr>
      <w:r w:rsidRPr="0030599D">
        <w:rPr>
          <w:rFonts w:ascii="Times New Roman" w:eastAsiaTheme="minorEastAsia" w:hAnsi="Times New Roman" w:cs="Times New Roman"/>
          <w:kern w:val="0"/>
          <w14:ligatures w14:val="none"/>
        </w:rPr>
        <w:t>Janno Luts, Riigilaevastiku finants- ja haldusüksuse juht.</w:t>
      </w:r>
    </w:p>
    <w:p w:rsidR="00BD2966" w:rsidRDefault="00BD2966"/>
    <w:sectPr w:rsidR="00BD2966" w:rsidSect="0030599D">
      <w:pgSz w:w="12240" w:h="15840"/>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9D"/>
    <w:rsid w:val="0013513B"/>
    <w:rsid w:val="001C4659"/>
    <w:rsid w:val="0030599D"/>
    <w:rsid w:val="00493C47"/>
    <w:rsid w:val="007A7150"/>
    <w:rsid w:val="00973D79"/>
    <w:rsid w:val="0099166A"/>
    <w:rsid w:val="00A271F7"/>
    <w:rsid w:val="00BD29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DB2B"/>
  <w15:chartTrackingRefBased/>
  <w15:docId w15:val="{6C4769CF-7A52-4573-8F6F-7398A295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05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05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0599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0599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0599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0599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0599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0599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0599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0599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0599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0599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0599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0599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0599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0599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0599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0599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05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0599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0599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0599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0599D"/>
    <w:pPr>
      <w:spacing w:before="160"/>
      <w:jc w:val="center"/>
    </w:pPr>
    <w:rPr>
      <w:i/>
      <w:iCs/>
      <w:color w:val="404040" w:themeColor="text1" w:themeTint="BF"/>
    </w:rPr>
  </w:style>
  <w:style w:type="character" w:customStyle="1" w:styleId="TsitaatMrk">
    <w:name w:val="Tsitaat Märk"/>
    <w:basedOn w:val="Liguvaikefont"/>
    <w:link w:val="Tsitaat"/>
    <w:uiPriority w:val="29"/>
    <w:rsid w:val="0030599D"/>
    <w:rPr>
      <w:i/>
      <w:iCs/>
      <w:color w:val="404040" w:themeColor="text1" w:themeTint="BF"/>
    </w:rPr>
  </w:style>
  <w:style w:type="paragraph" w:styleId="Loendilik">
    <w:name w:val="List Paragraph"/>
    <w:basedOn w:val="Normaallaad"/>
    <w:uiPriority w:val="34"/>
    <w:qFormat/>
    <w:rsid w:val="0030599D"/>
    <w:pPr>
      <w:ind w:left="720"/>
      <w:contextualSpacing/>
    </w:pPr>
  </w:style>
  <w:style w:type="character" w:styleId="Selgeltmrgatavrhutus">
    <w:name w:val="Intense Emphasis"/>
    <w:basedOn w:val="Liguvaikefont"/>
    <w:uiPriority w:val="21"/>
    <w:qFormat/>
    <w:rsid w:val="0030599D"/>
    <w:rPr>
      <w:i/>
      <w:iCs/>
      <w:color w:val="0F4761" w:themeColor="accent1" w:themeShade="BF"/>
    </w:rPr>
  </w:style>
  <w:style w:type="paragraph" w:styleId="Selgeltmrgatavtsitaat">
    <w:name w:val="Intense Quote"/>
    <w:basedOn w:val="Normaallaad"/>
    <w:next w:val="Normaallaad"/>
    <w:link w:val="SelgeltmrgatavtsitaatMrk"/>
    <w:uiPriority w:val="30"/>
    <w:qFormat/>
    <w:rsid w:val="00305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0599D"/>
    <w:rPr>
      <w:i/>
      <w:iCs/>
      <w:color w:val="0F4761" w:themeColor="accent1" w:themeShade="BF"/>
    </w:rPr>
  </w:style>
  <w:style w:type="character" w:styleId="Selgeltmrgatavviide">
    <w:name w:val="Intense Reference"/>
    <w:basedOn w:val="Liguvaikefont"/>
    <w:uiPriority w:val="32"/>
    <w:qFormat/>
    <w:rsid w:val="0030599D"/>
    <w:rPr>
      <w:b/>
      <w:bCs/>
      <w:smallCaps/>
      <w:color w:val="0F4761" w:themeColor="accent1" w:themeShade="BF"/>
      <w:spacing w:val="5"/>
    </w:rPr>
  </w:style>
  <w:style w:type="table" w:styleId="Kontuurtabel">
    <w:name w:val="Table Grid"/>
    <w:basedOn w:val="Normaaltabel"/>
    <w:uiPriority w:val="39"/>
    <w:rsid w:val="0030599D"/>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diamet.ee/liiklusaasta-ulevaade-2023" TargetMode="External"/><Relationship Id="rId3" Type="http://schemas.openxmlformats.org/officeDocument/2006/relationships/customXml" Target="../customXml/item3.xml"/><Relationship Id="rId7" Type="http://schemas.openxmlformats.org/officeDocument/2006/relationships/hyperlink" Target="https://www.transpordiamet.ee/liiklusaasta-ulevaade-20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transpordiamet.ee/meresoiduohutus-202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789116E9662F4D96104CB12E897DD7" ma:contentTypeVersion="13" ma:contentTypeDescription="Loo uus dokument" ma:contentTypeScope="" ma:versionID="0cc6330570415076dc2e5283e62ea8e5">
  <xsd:schema xmlns:xsd="http://www.w3.org/2001/XMLSchema" xmlns:xs="http://www.w3.org/2001/XMLSchema" xmlns:p="http://schemas.microsoft.com/office/2006/metadata/properties" xmlns:ns2="07dd8e39-f1e0-4388-8e70-d01e8be64a70" xmlns:ns3="06b91cb0-e805-4b8b-9785-0f5f0e56eec3" targetNamespace="http://schemas.microsoft.com/office/2006/metadata/properties" ma:root="true" ma:fieldsID="3efd56bb4d7bfb4e5e6444d3f8cccfbd" ns2:_="" ns3:_="">
    <xsd:import namespace="07dd8e39-f1e0-4388-8e70-d01e8be64a70"/>
    <xsd:import namespace="06b91cb0-e805-4b8b-9785-0f5f0e56e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d8e39-f1e0-4388-8e70-d01e8be6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91cb0-e805-4b8b-9785-0f5f0e56ee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1b3cd3a-b2f1-41b8-95a1-98499d1cd69c}" ma:internalName="TaxCatchAll" ma:showField="CatchAllData" ma:web="06b91cb0-e805-4b8b-9785-0f5f0e56e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b91cb0-e805-4b8b-9785-0f5f0e56eec3" xsi:nil="true"/>
    <lcf76f155ced4ddcb4097134ff3c332f xmlns="07dd8e39-f1e0-4388-8e70-d01e8be64a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FFBCBA-96D5-478D-882C-CEE787F81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d8e39-f1e0-4388-8e70-d01e8be64a70"/>
    <ds:schemaRef ds:uri="06b91cb0-e805-4b8b-9785-0f5f0e56e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59E0E-A58C-4F0C-AF18-40F8BFE6F95E}">
  <ds:schemaRefs>
    <ds:schemaRef ds:uri="http://schemas.microsoft.com/sharepoint/v3/contenttype/forms"/>
  </ds:schemaRefs>
</ds:datastoreItem>
</file>

<file path=customXml/itemProps3.xml><?xml version="1.0" encoding="utf-8"?>
<ds:datastoreItem xmlns:ds="http://schemas.openxmlformats.org/officeDocument/2006/customXml" ds:itemID="{B08CA74B-4589-48BA-A587-9723F7B270C5}">
  <ds:schemaRefs>
    <ds:schemaRef ds:uri="http://schemas.microsoft.com/office/2006/metadata/properties"/>
    <ds:schemaRef ds:uri="http://schemas.microsoft.com/office/infopath/2007/PartnerControls"/>
    <ds:schemaRef ds:uri="06b91cb0-e805-4b8b-9785-0f5f0e56eec3"/>
    <ds:schemaRef ds:uri="07dd8e39-f1e0-4388-8e70-d01e8be64a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1239</Words>
  <Characters>7192</Characters>
  <Application>Microsoft Office Word</Application>
  <DocSecurity>0</DocSecurity>
  <Lines>59</Lines>
  <Paragraphs>16</Paragraphs>
  <ScaleCrop>false</ScaleCrop>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Neeme Muru - RIL</dc:creator>
  <cp:keywords/>
  <dc:description/>
  <cp:lastModifiedBy>Zanna Arhipova</cp:lastModifiedBy>
  <cp:revision>1</cp:revision>
  <dcterms:created xsi:type="dcterms:W3CDTF">2025-12-18T07:27:00Z</dcterms:created>
  <dcterms:modified xsi:type="dcterms:W3CDTF">2025-12-18T07:27:00Z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2025-10-10T12:58:27Z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167ad007-67d3-443d-acdd-ef9f3ce05c4d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0x010100F5789116E9662F4D96104CB12E897DD7</vt:lpwstr>
  </property>
</Properties>
</file>